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77402" w14:textId="77777777" w:rsidR="00932EE8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932EE8" w14:paraId="2CBD4B0F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39EE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b/>
                <w:bCs/>
                <w:sz w:val="24"/>
              </w:rPr>
              <w:t>单位信息</w:t>
            </w:r>
          </w:p>
        </w:tc>
      </w:tr>
      <w:tr w:rsidR="00932EE8" w14:paraId="6EC0C24F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1FE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6B6C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安徽海螺制剂工程技术有限公司</w:t>
            </w:r>
          </w:p>
        </w:tc>
      </w:tr>
      <w:tr w:rsidR="00932EE8" w14:paraId="3B46887D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421C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F96C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芜湖市江北经济开发区</w:t>
            </w:r>
          </w:p>
        </w:tc>
      </w:tr>
      <w:tr w:rsidR="00932EE8" w14:paraId="55A4F497" w14:textId="77777777">
        <w:trPr>
          <w:trHeight w:val="379"/>
        </w:trPr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FE9A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0F98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1628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D181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工业助剂</w:t>
            </w:r>
          </w:p>
        </w:tc>
      </w:tr>
      <w:tr w:rsidR="00932EE8" w14:paraId="7411654F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1D92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4DA34646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DC46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11000</w:t>
            </w: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3209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4F625D7C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2C33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8485</w:t>
            </w:r>
            <w:r>
              <w:rPr>
                <w:rFonts w:hint="eastAsia"/>
                <w:sz w:val="24"/>
              </w:rPr>
              <w:t>（万元）</w:t>
            </w:r>
          </w:p>
        </w:tc>
      </w:tr>
      <w:tr w:rsidR="00932EE8" w14:paraId="1CA44765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7E29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CB79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kern w:val="0"/>
                <w:sz w:val="21"/>
                <w:szCs w:val="21"/>
              </w:rPr>
              <w:t>是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☑</w:t>
            </w:r>
            <w:r>
              <w:rPr>
                <w:rFonts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E654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5D4F0AA4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2586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☑</w:t>
            </w:r>
            <w:r>
              <w:rPr>
                <w:rFonts w:hint="eastAsia"/>
                <w:kern w:val="0"/>
                <w:sz w:val="21"/>
                <w:szCs w:val="21"/>
              </w:rPr>
              <w:t>是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kern w:val="0"/>
                <w:sz w:val="21"/>
                <w:szCs w:val="21"/>
              </w:rPr>
              <w:t>否</w:t>
            </w:r>
          </w:p>
        </w:tc>
      </w:tr>
      <w:tr w:rsidR="00932EE8" w14:paraId="56128C81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ACA1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需求信息</w:t>
            </w:r>
          </w:p>
        </w:tc>
      </w:tr>
      <w:tr w:rsidR="00932EE8" w14:paraId="3873E743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1FE9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5E876" w14:textId="77777777" w:rsidR="00932EE8" w:rsidRDefault="00932EE8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</w:tr>
      <w:tr w:rsidR="00932EE8" w14:paraId="2A24686A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BBA7F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E8D14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7042B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□新一代信息技术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□人工智能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□新材料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☑新能源和节能环保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0417BF8A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□新能源汽车和智能网联汽车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□高端装备制造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□智能家电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1E1BC369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□大健康和绿色食品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□数字创意（线上经济）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□航空航天（低空经济）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□其他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932EE8" w14:paraId="605F81B3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6791B" w14:textId="77777777" w:rsidR="00932EE8" w:rsidRDefault="00932EE8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0EF67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D2026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□技术研发（关键、核心技术）</w:t>
            </w:r>
          </w:p>
          <w:p w14:paraId="59175AEC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☑产品研发（产品升级、新产品研发）</w:t>
            </w:r>
          </w:p>
          <w:p w14:paraId="7007F928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□技术改造（设备、研发生产条件）</w:t>
            </w:r>
          </w:p>
          <w:p w14:paraId="7CEE632C" w14:textId="77777777" w:rsidR="00932EE8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□技术配套（技术、产品等配套合作）</w:t>
            </w:r>
          </w:p>
        </w:tc>
      </w:tr>
      <w:tr w:rsidR="00932EE8" w14:paraId="0100CCF9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F8D76" w14:textId="77777777" w:rsidR="00932EE8" w:rsidRDefault="00932EE8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2D51D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</w:t>
            </w:r>
          </w:p>
          <w:p w14:paraId="41168CEE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966AC" w14:textId="77777777" w:rsidR="00932EE8" w:rsidRDefault="00000000">
            <w:pPr>
              <w:spacing w:line="360" w:lineRule="exact"/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  <w:p w14:paraId="645490A6" w14:textId="77777777" w:rsidR="00932EE8" w:rsidRPr="00B83EA3" w:rsidRDefault="00000000">
            <w:pPr>
              <w:spacing w:line="360" w:lineRule="exact"/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燃烧促进剂：</w:t>
            </w:r>
            <w:r w:rsidRPr="00B83EA3">
              <w:rPr>
                <w:rFonts w:ascii="宋体" w:hAnsi="宋体" w:hint="eastAsia"/>
                <w:color w:val="FF0000"/>
                <w:sz w:val="24"/>
              </w:rPr>
              <w:t>一是电厂煤炭燃烧过程机制及高效节煤剂配方开发。</w:t>
            </w:r>
          </w:p>
          <w:p w14:paraId="1B3E2B0A" w14:textId="77777777" w:rsidR="00932EE8" w:rsidRPr="00B83EA3" w:rsidRDefault="00000000">
            <w:pPr>
              <w:spacing w:line="360" w:lineRule="exact"/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 w:rsidRPr="00B83EA3">
              <w:rPr>
                <w:rFonts w:ascii="宋体" w:hAnsi="宋体" w:hint="eastAsia"/>
                <w:color w:val="FF0000"/>
                <w:sz w:val="24"/>
              </w:rPr>
              <w:t>二是水泥厂方面，提高现主营燃烧促进剂产品节煤效果，以达到节约吨熟料耗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标煤超过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5kg/t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的效果</w:t>
            </w:r>
            <w:r w:rsidRPr="00B83EA3">
              <w:rPr>
                <w:rFonts w:ascii="宋体" w:hAnsi="宋体" w:hint="eastAsia"/>
                <w:color w:val="FF0000"/>
                <w:sz w:val="24"/>
              </w:rPr>
              <w:t>。</w:t>
            </w:r>
          </w:p>
          <w:p w14:paraId="3B05E657" w14:textId="77777777" w:rsidR="00932EE8" w:rsidRPr="00B83EA3" w:rsidRDefault="00000000">
            <w:pPr>
              <w:spacing w:line="360" w:lineRule="exact"/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干法固化脱硫剂：</w:t>
            </w:r>
            <w:r w:rsidRPr="00B83EA3">
              <w:rPr>
                <w:rFonts w:ascii="宋体" w:hAnsi="宋体" w:hint="eastAsia"/>
                <w:color w:val="FF0000"/>
                <w:sz w:val="24"/>
              </w:rPr>
              <w:t>应用于水泥等重点硫排放行业满足超低排放要求，为了降低脱硫剂成本，需开发高效干法固化复合脱硫剂，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成本低于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1500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元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/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吨，脱硫效率高于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90%</w:t>
            </w:r>
            <w:r w:rsidRPr="00B83EA3">
              <w:rPr>
                <w:rFonts w:ascii="宋体" w:hAnsi="宋体" w:hint="eastAsia"/>
                <w:b/>
                <w:bCs/>
                <w:color w:val="FF0000"/>
                <w:sz w:val="24"/>
              </w:rPr>
              <w:t>以上。</w:t>
            </w:r>
          </w:p>
          <w:p w14:paraId="6C626AEC" w14:textId="77777777" w:rsidR="00932EE8" w:rsidRDefault="00000000">
            <w:pPr>
              <w:pStyle w:val="ab"/>
              <w:widowControl/>
              <w:spacing w:beforeAutospacing="0" w:afterAutospacing="0" w:line="360" w:lineRule="exact"/>
              <w:ind w:firstLineChars="0" w:firstLine="0"/>
              <w:jc w:val="both"/>
            </w:pPr>
            <w:r>
              <w:rPr>
                <w:rFonts w:ascii="宋体" w:hAnsi="宋体" w:hint="eastAsia"/>
                <w:b/>
                <w:bCs/>
              </w:rPr>
              <w:t>水处理剂</w:t>
            </w:r>
            <w:r>
              <w:rPr>
                <w:rFonts w:ascii="宋体" w:hAnsi="宋体" w:hint="eastAsia"/>
                <w:b/>
                <w:bCs/>
              </w:rPr>
              <w:t>:</w:t>
            </w:r>
            <w:r>
              <w:rPr>
                <w:rFonts w:ascii="宋体" w:hAnsi="宋体" w:hint="eastAsia"/>
              </w:rPr>
              <w:t>拟需要开发水处理用阻垢剂，</w:t>
            </w:r>
            <w:r>
              <w:rPr>
                <w:rFonts w:ascii="宋体" w:hAnsi="宋体" w:hint="eastAsia"/>
                <w:b/>
                <w:bCs/>
              </w:rPr>
              <w:t>配方配料成本低于</w:t>
            </w:r>
            <w:r>
              <w:rPr>
                <w:rFonts w:ascii="宋体" w:hAnsi="宋体" w:hint="eastAsia"/>
                <w:b/>
                <w:bCs/>
              </w:rPr>
              <w:t>2500</w:t>
            </w:r>
            <w:r>
              <w:rPr>
                <w:rFonts w:ascii="宋体" w:hAnsi="宋体" w:hint="eastAsia"/>
                <w:b/>
                <w:bCs/>
              </w:rPr>
              <w:t>元</w:t>
            </w:r>
            <w:r>
              <w:rPr>
                <w:rFonts w:ascii="宋体" w:hAnsi="宋体" w:hint="eastAsia"/>
                <w:b/>
                <w:bCs/>
              </w:rPr>
              <w:t>/</w:t>
            </w:r>
            <w:r>
              <w:rPr>
                <w:rFonts w:ascii="宋体" w:hAnsi="宋体" w:hint="eastAsia"/>
                <w:b/>
                <w:bCs/>
              </w:rPr>
              <w:t>吨，阻垢效果高于</w:t>
            </w:r>
            <w:r>
              <w:rPr>
                <w:rFonts w:ascii="宋体" w:hAnsi="宋体" w:hint="eastAsia"/>
                <w:b/>
                <w:bCs/>
              </w:rPr>
              <w:t>70%</w:t>
            </w:r>
            <w:r>
              <w:rPr>
                <w:rFonts w:ascii="宋体" w:hAnsi="宋体" w:hint="eastAsia"/>
                <w:b/>
                <w:bCs/>
              </w:rPr>
              <w:t>（阻垢剂添加量为</w:t>
            </w:r>
            <w:r>
              <w:rPr>
                <w:rFonts w:ascii="宋体" w:hAnsi="宋体" w:hint="eastAsia"/>
                <w:b/>
                <w:bCs/>
              </w:rPr>
              <w:t>25ppm</w:t>
            </w:r>
            <w:r>
              <w:rPr>
                <w:rFonts w:ascii="宋体" w:hAnsi="宋体" w:hint="eastAsia"/>
                <w:b/>
                <w:bCs/>
              </w:rPr>
              <w:t>）。</w:t>
            </w:r>
          </w:p>
          <w:p w14:paraId="16ACDF57" w14:textId="77777777" w:rsidR="00932EE8" w:rsidRDefault="00000000">
            <w:pPr>
              <w:pStyle w:val="ab"/>
              <w:widowControl/>
              <w:spacing w:beforeAutospacing="0" w:afterAutospacing="0" w:line="360" w:lineRule="exact"/>
              <w:ind w:firstLineChars="0" w:firstLine="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>熔解促进剂：助</w:t>
            </w:r>
            <w:r>
              <w:rPr>
                <w:rFonts w:ascii="宋体" w:hAnsi="宋体" w:hint="eastAsia"/>
              </w:rPr>
              <w:t>力于生料分解和矿化过程中节能降耗，</w:t>
            </w:r>
            <w:r>
              <w:rPr>
                <w:rFonts w:ascii="宋体" w:hAnsi="宋体" w:hint="eastAsia"/>
                <w:b/>
                <w:bCs/>
              </w:rPr>
              <w:t>需要熔解促进剂新配方成本低于</w:t>
            </w:r>
            <w:r>
              <w:rPr>
                <w:rFonts w:ascii="宋体" w:hAnsi="宋体" w:hint="eastAsia"/>
                <w:b/>
                <w:bCs/>
              </w:rPr>
              <w:t>500</w:t>
            </w:r>
            <w:r>
              <w:rPr>
                <w:rFonts w:ascii="宋体" w:hAnsi="宋体" w:hint="eastAsia"/>
                <w:b/>
                <w:bCs/>
              </w:rPr>
              <w:t>元</w:t>
            </w:r>
            <w:r>
              <w:rPr>
                <w:rFonts w:ascii="宋体" w:hAnsi="宋体" w:hint="eastAsia"/>
                <w:b/>
                <w:bCs/>
              </w:rPr>
              <w:t>/</w:t>
            </w:r>
            <w:r>
              <w:rPr>
                <w:rFonts w:ascii="宋体" w:hAnsi="宋体" w:hint="eastAsia"/>
                <w:b/>
                <w:bCs/>
              </w:rPr>
              <w:t>吨，节煤效果达到标准煤耗</w:t>
            </w:r>
            <w:r>
              <w:rPr>
                <w:rFonts w:ascii="宋体" w:hAnsi="宋体" w:hint="eastAsia"/>
                <w:b/>
                <w:bCs/>
              </w:rPr>
              <w:t>3kg/t</w:t>
            </w:r>
            <w:r>
              <w:rPr>
                <w:rFonts w:ascii="宋体" w:hAnsi="宋体" w:hint="eastAsia"/>
                <w:b/>
                <w:bCs/>
              </w:rPr>
              <w:t>以上。</w:t>
            </w:r>
          </w:p>
        </w:tc>
      </w:tr>
      <w:tr w:rsidR="00932EE8" w14:paraId="072EFD04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210F" w14:textId="77777777" w:rsidR="00932EE8" w:rsidRDefault="00932EE8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038E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现有</w:t>
            </w:r>
          </w:p>
          <w:p w14:paraId="75D65262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3827F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（企业取得省级以上研发平台名称、研发人员数量、项目研发所处</w:t>
            </w:r>
            <w:r>
              <w:rPr>
                <w:rFonts w:hint="eastAsia"/>
                <w:sz w:val="24"/>
              </w:rPr>
              <w:lastRenderedPageBreak/>
              <w:t>阶段、仪器设备条件等其他内容）</w:t>
            </w:r>
          </w:p>
          <w:p w14:paraId="7F521694" w14:textId="77777777" w:rsidR="00932EE8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研发平台：</w:t>
            </w:r>
            <w:r>
              <w:rPr>
                <w:rFonts w:hint="eastAsia"/>
                <w:kern w:val="0"/>
                <w:sz w:val="24"/>
              </w:rPr>
              <w:t>安徽省科技型中小企业、安徽省创新性中小企业</w:t>
            </w:r>
          </w:p>
          <w:p w14:paraId="0B3920CF" w14:textId="77777777" w:rsidR="00932EE8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研发人员数量：</w:t>
            </w:r>
            <w:r>
              <w:rPr>
                <w:rFonts w:hint="eastAsia"/>
                <w:kern w:val="0"/>
                <w:sz w:val="24"/>
              </w:rPr>
              <w:t>33</w:t>
            </w:r>
          </w:p>
          <w:p w14:paraId="29AC4E30" w14:textId="77777777" w:rsidR="00932EE8" w:rsidRDefault="00000000">
            <w:pPr>
              <w:spacing w:line="360" w:lineRule="exact"/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项目研发所处阶段：</w:t>
            </w:r>
            <w:r>
              <w:rPr>
                <w:rFonts w:hint="eastAsia"/>
                <w:kern w:val="0"/>
                <w:sz w:val="24"/>
              </w:rPr>
              <w:t>燃烧促进剂已拓展应用到多条水泥生产线，遍布区域覆盖较广，平均标准煤耗在</w:t>
            </w:r>
            <w:r>
              <w:rPr>
                <w:rFonts w:hint="eastAsia"/>
                <w:kern w:val="0"/>
                <w:sz w:val="24"/>
              </w:rPr>
              <w:t>3kg/t</w:t>
            </w:r>
            <w:r>
              <w:rPr>
                <w:rFonts w:hint="eastAsia"/>
                <w:kern w:val="0"/>
                <w:sz w:val="24"/>
              </w:rPr>
              <w:t>左右。电厂方面应用燃烧促进剂正处于全面推广中。干法固化脱硫剂已拓展应用到多条水泥生产线，在水泥窑炉</w:t>
            </w:r>
            <w:r>
              <w:rPr>
                <w:rFonts w:hint="eastAsia"/>
                <w:kern w:val="0"/>
                <w:sz w:val="24"/>
              </w:rPr>
              <w:t>SO</w:t>
            </w:r>
            <w:r>
              <w:rPr>
                <w:rFonts w:hint="eastAsia"/>
                <w:kern w:val="0"/>
                <w:sz w:val="24"/>
                <w:vertAlign w:val="subscript"/>
              </w:rPr>
              <w:t>2</w:t>
            </w:r>
            <w:r>
              <w:rPr>
                <w:rFonts w:hint="eastAsia"/>
                <w:kern w:val="0"/>
                <w:sz w:val="24"/>
              </w:rPr>
              <w:t>≤</w:t>
            </w:r>
            <w:r>
              <w:rPr>
                <w:rFonts w:hint="eastAsia"/>
                <w:kern w:val="0"/>
                <w:sz w:val="24"/>
              </w:rPr>
              <w:t>400mg/m</w:t>
            </w:r>
            <w:r>
              <w:rPr>
                <w:rFonts w:hint="eastAsia"/>
                <w:kern w:val="0"/>
                <w:sz w:val="24"/>
                <w:vertAlign w:val="superscript"/>
              </w:rPr>
              <w:t>3</w:t>
            </w:r>
            <w:r>
              <w:rPr>
                <w:rFonts w:hint="eastAsia"/>
                <w:kern w:val="0"/>
                <w:sz w:val="24"/>
              </w:rPr>
              <w:t>时，脱硫效率可达到</w:t>
            </w:r>
            <w:r>
              <w:rPr>
                <w:rFonts w:hint="eastAsia"/>
                <w:kern w:val="0"/>
                <w:sz w:val="24"/>
              </w:rPr>
              <w:t>98%</w:t>
            </w:r>
            <w:r>
              <w:rPr>
                <w:rFonts w:hint="eastAsia"/>
                <w:kern w:val="0"/>
                <w:sz w:val="24"/>
              </w:rPr>
              <w:t>，但脱硫剂应用成本有待降低。水处理剂已应用于江苏、山东及其他区域的</w:t>
            </w:r>
            <w:r>
              <w:rPr>
                <w:rFonts w:ascii="宋体" w:hAnsi="宋体" w:hint="eastAsia"/>
                <w:sz w:val="24"/>
              </w:rPr>
              <w:t>灰水分散剂和余热发电系统中，</w:t>
            </w:r>
            <w:r>
              <w:rPr>
                <w:rFonts w:hint="eastAsia"/>
                <w:kern w:val="0"/>
                <w:sz w:val="24"/>
              </w:rPr>
              <w:t>目前复配剂核心的</w:t>
            </w:r>
            <w:r>
              <w:rPr>
                <w:rFonts w:hint="eastAsia"/>
                <w:kern w:val="0"/>
                <w:sz w:val="24"/>
              </w:rPr>
              <w:t>HPMA</w:t>
            </w:r>
            <w:r>
              <w:rPr>
                <w:rFonts w:hint="eastAsia"/>
                <w:kern w:val="0"/>
                <w:sz w:val="24"/>
              </w:rPr>
              <w:t>成本竞争力不佳，急需可替代性产品，用于复配阻垢剂，从而达到降本增效的效果</w:t>
            </w:r>
            <w:r>
              <w:rPr>
                <w:rFonts w:ascii="宋体" w:hAnsi="宋体" w:hint="eastAsia"/>
                <w:sz w:val="24"/>
              </w:rPr>
              <w:t>。熔解促进剂目前应用于芜湖、石门等水泥厂，亟需开发低成本且高效配方。</w:t>
            </w:r>
          </w:p>
          <w:p w14:paraId="524048A0" w14:textId="77777777" w:rsidR="00932EE8" w:rsidRDefault="00000000">
            <w:pPr>
              <w:spacing w:line="360" w:lineRule="exact"/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仪器设备条件：</w:t>
            </w:r>
            <w:r>
              <w:rPr>
                <w:rFonts w:ascii="宋体" w:hAnsi="宋体" w:hint="eastAsia"/>
                <w:sz w:val="24"/>
              </w:rPr>
              <w:t>公司目前配置约</w:t>
            </w:r>
            <w:r>
              <w:rPr>
                <w:rFonts w:ascii="宋体" w:hAnsi="宋体" w:hint="eastAsia"/>
                <w:b/>
                <w:bCs/>
                <w:sz w:val="24"/>
              </w:rPr>
              <w:t>1200</w:t>
            </w:r>
            <w:r>
              <w:rPr>
                <w:rFonts w:ascii="宋体" w:hAnsi="宋体" w:hint="eastAsia"/>
                <w:sz w:val="24"/>
              </w:rPr>
              <w:t>平方米的研发楼，配置</w:t>
            </w:r>
            <w:r>
              <w:rPr>
                <w:rFonts w:cs="Times New Roman"/>
                <w:sz w:val="24"/>
              </w:rPr>
              <w:t>电感耦合等离子体质谱仪、</w:t>
            </w:r>
            <w:r>
              <w:rPr>
                <w:rFonts w:cs="Times New Roman" w:hint="eastAsia"/>
                <w:sz w:val="24"/>
              </w:rPr>
              <w:t>同步热分析仪</w:t>
            </w:r>
            <w:r>
              <w:rPr>
                <w:rFonts w:cs="Times New Roman"/>
                <w:sz w:val="24"/>
              </w:rPr>
              <w:t>等研发检测设备</w:t>
            </w:r>
            <w:r>
              <w:rPr>
                <w:rFonts w:cs="Times New Roman" w:hint="eastAsia"/>
                <w:sz w:val="24"/>
              </w:rPr>
              <w:t>，一期设备总价值约</w:t>
            </w:r>
            <w:r>
              <w:rPr>
                <w:rFonts w:cs="Times New Roman" w:hint="eastAsia"/>
                <w:sz w:val="24"/>
              </w:rPr>
              <w:t>500</w:t>
            </w:r>
            <w:r>
              <w:rPr>
                <w:rFonts w:cs="Times New Roman" w:hint="eastAsia"/>
                <w:sz w:val="24"/>
              </w:rPr>
              <w:t>余万元。</w:t>
            </w:r>
          </w:p>
        </w:tc>
      </w:tr>
      <w:tr w:rsidR="00932EE8" w14:paraId="11C5D2EB" w14:textId="77777777">
        <w:trPr>
          <w:trHeight w:val="254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4298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8748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简要</w:t>
            </w:r>
          </w:p>
          <w:p w14:paraId="1DB28244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2B84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735E5C5D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  <w:p w14:paraId="060A4DD4" w14:textId="77777777" w:rsidR="00932EE8" w:rsidRDefault="00932EE8">
            <w:pPr>
              <w:spacing w:line="360" w:lineRule="exact"/>
              <w:ind w:firstLineChars="0" w:firstLine="0"/>
              <w:rPr>
                <w:sz w:val="24"/>
              </w:rPr>
            </w:pPr>
          </w:p>
          <w:p w14:paraId="5458832C" w14:textId="77777777" w:rsidR="00932EE8" w:rsidRDefault="00932EE8">
            <w:pPr>
              <w:spacing w:line="360" w:lineRule="exact"/>
              <w:ind w:firstLineChars="0" w:firstLine="0"/>
              <w:rPr>
                <w:sz w:val="24"/>
              </w:rPr>
            </w:pPr>
          </w:p>
          <w:p w14:paraId="62AD21EC" w14:textId="77777777" w:rsidR="00932EE8" w:rsidRDefault="00932EE8">
            <w:pPr>
              <w:spacing w:line="360" w:lineRule="exact"/>
              <w:ind w:firstLineChars="0" w:firstLine="0"/>
              <w:rPr>
                <w:sz w:val="24"/>
              </w:rPr>
            </w:pPr>
          </w:p>
          <w:p w14:paraId="26FB4D00" w14:textId="77777777" w:rsidR="00932EE8" w:rsidRDefault="00932EE8">
            <w:pPr>
              <w:spacing w:line="360" w:lineRule="exact"/>
              <w:ind w:firstLineChars="0" w:firstLine="0"/>
              <w:rPr>
                <w:sz w:val="24"/>
              </w:rPr>
            </w:pPr>
          </w:p>
        </w:tc>
      </w:tr>
      <w:tr w:rsidR="00932EE8" w14:paraId="02D3AFCE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33A5" w14:textId="77777777" w:rsidR="00932EE8" w:rsidRDefault="00932EE8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F3C93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合作</w:t>
            </w:r>
          </w:p>
          <w:p w14:paraId="1A43A228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8856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□技术转让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□技术入股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☑联合开发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☑委托研发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226B20BD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☑委托团队、专家长期技术服务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□共建新研发、生产实体</w:t>
            </w:r>
          </w:p>
        </w:tc>
      </w:tr>
      <w:tr w:rsidR="00932EE8" w14:paraId="72112AD8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2DB5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23142" w14:textId="77777777" w:rsidR="00932EE8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☑知识产权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7A685371" w14:textId="77777777" w:rsidR="00932EE8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☑检验检测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☑质量体系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0F56052C" w14:textId="77777777" w:rsidR="00932EE8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932EE8" w14:paraId="46206EAE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93B6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932EE8" w14:paraId="2998C4B1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E093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5FA9" w14:textId="77777777" w:rsidR="00932EE8" w:rsidRDefault="00932EE8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</w:tr>
      <w:tr w:rsidR="00932EE8" w14:paraId="3AFB65E2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7C29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2422" w14:textId="77777777" w:rsidR="00932EE8" w:rsidRDefault="00932EE8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1422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FF7E" w14:textId="77777777" w:rsidR="00932EE8" w:rsidRDefault="00932EE8">
            <w:pPr>
              <w:spacing w:line="360" w:lineRule="exact"/>
              <w:ind w:firstLineChars="0" w:firstLine="0"/>
              <w:jc w:val="center"/>
              <w:rPr>
                <w:b/>
                <w:bCs/>
                <w:sz w:val="24"/>
              </w:rPr>
            </w:pPr>
          </w:p>
        </w:tc>
      </w:tr>
      <w:tr w:rsidR="00932EE8" w14:paraId="2C033247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5229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DE8A" w14:textId="77777777" w:rsidR="00932EE8" w:rsidRDefault="00932EE8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2055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52AB" w14:textId="77777777" w:rsidR="00932EE8" w:rsidRDefault="00932EE8">
            <w:pPr>
              <w:spacing w:line="360" w:lineRule="exact"/>
              <w:ind w:firstLineChars="0" w:firstLine="0"/>
              <w:jc w:val="center"/>
              <w:rPr>
                <w:b/>
                <w:bCs/>
                <w:sz w:val="24"/>
              </w:rPr>
            </w:pPr>
          </w:p>
        </w:tc>
      </w:tr>
      <w:tr w:rsidR="00932EE8" w14:paraId="2731E8D4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A490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b/>
                <w:bCs/>
                <w:sz w:val="24"/>
              </w:rPr>
              <w:t>管理信息</w:t>
            </w:r>
          </w:p>
        </w:tc>
      </w:tr>
      <w:tr w:rsidR="00932EE8" w14:paraId="26BA40CF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CF8D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同意公开</w:t>
            </w:r>
          </w:p>
          <w:p w14:paraId="4CD03973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D9D3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</w:t>
            </w:r>
            <w:r>
              <w:rPr>
                <w:rFonts w:hint="eastAsia"/>
                <w:kern w:val="0"/>
                <w:sz w:val="24"/>
              </w:rPr>
              <w:t>是</w:t>
            </w:r>
            <w:r>
              <w:rPr>
                <w:rFonts w:hint="eastAsia"/>
                <w:kern w:val="0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□否</w:t>
            </w:r>
          </w:p>
          <w:p w14:paraId="7F0966D0" w14:textId="77777777" w:rsidR="00932EE8" w:rsidRDefault="00000000">
            <w:pPr>
              <w:spacing w:line="360" w:lineRule="exact"/>
              <w:ind w:firstLineChars="0" w:firstLine="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>部分公开（说明）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932EE8" w14:paraId="1D94C809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19CB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lastRenderedPageBreak/>
              <w:t>同意接受</w:t>
            </w:r>
          </w:p>
          <w:p w14:paraId="25CB5D5C" w14:textId="77777777" w:rsidR="00932EE8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5962" w14:textId="77777777" w:rsidR="00932EE8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☑</w:t>
            </w:r>
            <w:r>
              <w:rPr>
                <w:rFonts w:hint="eastAsia"/>
                <w:kern w:val="0"/>
                <w:sz w:val="24"/>
              </w:rPr>
              <w:t>是</w:t>
            </w:r>
            <w:r>
              <w:rPr>
                <w:rFonts w:hint="eastAsia"/>
                <w:kern w:val="0"/>
                <w:sz w:val="24"/>
              </w:rPr>
              <w:t xml:space="preserve">                </w:t>
            </w:r>
          </w:p>
          <w:p w14:paraId="1876B89B" w14:textId="77777777" w:rsidR="00932EE8" w:rsidRDefault="00000000">
            <w:pPr>
              <w:spacing w:line="360" w:lineRule="exact"/>
              <w:ind w:firstLineChars="0" w:firstLine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>否</w:t>
            </w:r>
          </w:p>
        </w:tc>
      </w:tr>
    </w:tbl>
    <w:p w14:paraId="6FCABDCF" w14:textId="77777777" w:rsidR="00932EE8" w:rsidRDefault="00000000">
      <w:pPr>
        <w:spacing w:line="360" w:lineRule="exact"/>
        <w:ind w:firstLineChars="0" w:firstLine="0"/>
        <w:jc w:val="left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填表说明：</w:t>
      </w:r>
    </w:p>
    <w:p w14:paraId="4FE0A569" w14:textId="77777777" w:rsidR="00932EE8" w:rsidRDefault="00000000">
      <w:pPr>
        <w:spacing w:line="360" w:lineRule="exact"/>
        <w:ind w:firstLine="480"/>
        <w:jc w:val="left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一、所述行业：1</w:t>
      </w:r>
      <w:r>
        <w:rPr>
          <w:rFonts w:ascii="仿宋" w:eastAsia="仿宋" w:hAnsi="仿宋"/>
          <w:kern w:val="0"/>
          <w:sz w:val="24"/>
        </w:rPr>
        <w:t>.</w:t>
      </w:r>
      <w:r>
        <w:rPr>
          <w:rFonts w:ascii="仿宋" w:eastAsia="仿宋" w:hAnsi="仿宋" w:hint="eastAsia"/>
          <w:kern w:val="0"/>
          <w:sz w:val="24"/>
        </w:rPr>
        <w:t>农、林、牧、渔业；</w:t>
      </w:r>
      <w:r>
        <w:rPr>
          <w:rFonts w:ascii="仿宋" w:eastAsia="仿宋" w:hAnsi="仿宋"/>
          <w:kern w:val="0"/>
          <w:sz w:val="24"/>
        </w:rPr>
        <w:t>2.</w:t>
      </w:r>
      <w:r>
        <w:rPr>
          <w:rFonts w:ascii="仿宋" w:eastAsia="仿宋" w:hAnsi="仿宋" w:hint="eastAsia"/>
          <w:kern w:val="0"/>
          <w:sz w:val="24"/>
        </w:rPr>
        <w:t>采矿业；</w:t>
      </w:r>
      <w:r>
        <w:rPr>
          <w:rFonts w:ascii="仿宋" w:eastAsia="仿宋" w:hAnsi="仿宋"/>
          <w:kern w:val="0"/>
          <w:sz w:val="24"/>
        </w:rPr>
        <w:t>3.</w:t>
      </w:r>
      <w:r>
        <w:rPr>
          <w:rFonts w:ascii="仿宋" w:eastAsia="仿宋" w:hAnsi="仿宋" w:hint="eastAsia"/>
          <w:kern w:val="0"/>
          <w:sz w:val="24"/>
        </w:rPr>
        <w:t>制造业；</w:t>
      </w:r>
      <w:r>
        <w:rPr>
          <w:rFonts w:ascii="仿宋" w:eastAsia="仿宋" w:hAnsi="仿宋"/>
          <w:kern w:val="0"/>
          <w:sz w:val="24"/>
        </w:rPr>
        <w:t>4.</w:t>
      </w:r>
      <w:r>
        <w:rPr>
          <w:rFonts w:ascii="仿宋" w:eastAsia="仿宋" w:hAnsi="仿宋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/>
          <w:kern w:val="0"/>
          <w:sz w:val="24"/>
        </w:rPr>
        <w:t>5</w:t>
      </w:r>
      <w:r>
        <w:rPr>
          <w:rFonts w:ascii="仿宋" w:eastAsia="仿宋" w:hAnsi="仿宋" w:hint="eastAsia"/>
          <w:kern w:val="0"/>
          <w:sz w:val="24"/>
        </w:rPr>
        <w:t>.建筑业；</w:t>
      </w:r>
      <w:r>
        <w:rPr>
          <w:rFonts w:ascii="仿宋" w:eastAsia="仿宋" w:hAnsi="仿宋"/>
          <w:kern w:val="0"/>
          <w:sz w:val="24"/>
        </w:rPr>
        <w:t>6.</w:t>
      </w:r>
      <w:r>
        <w:rPr>
          <w:rFonts w:ascii="仿宋" w:eastAsia="仿宋" w:hAnsi="仿宋" w:hint="eastAsia"/>
          <w:kern w:val="0"/>
          <w:sz w:val="24"/>
        </w:rPr>
        <w:t>交通运输、仓储和邮政业；</w:t>
      </w:r>
      <w:r>
        <w:rPr>
          <w:rFonts w:ascii="仿宋" w:eastAsia="仿宋" w:hAnsi="仿宋"/>
          <w:kern w:val="0"/>
          <w:sz w:val="24"/>
        </w:rPr>
        <w:t>7.</w:t>
      </w:r>
      <w:r>
        <w:rPr>
          <w:rFonts w:ascii="仿宋" w:eastAsia="仿宋" w:hAnsi="仿宋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/>
          <w:kern w:val="0"/>
          <w:sz w:val="24"/>
        </w:rPr>
        <w:t>8.</w:t>
      </w:r>
      <w:r>
        <w:rPr>
          <w:rFonts w:ascii="仿宋" w:eastAsia="仿宋" w:hAnsi="仿宋" w:hint="eastAsia"/>
          <w:kern w:val="0"/>
          <w:sz w:val="24"/>
        </w:rPr>
        <w:t>科学研究和技术服务业；</w:t>
      </w:r>
      <w:r>
        <w:rPr>
          <w:rFonts w:ascii="仿宋" w:eastAsia="仿宋" w:hAnsi="仿宋"/>
          <w:kern w:val="0"/>
          <w:sz w:val="24"/>
        </w:rPr>
        <w:t>9.</w:t>
      </w:r>
      <w:r>
        <w:rPr>
          <w:rFonts w:ascii="仿宋" w:eastAsia="仿宋" w:hAnsi="仿宋" w:hint="eastAsia"/>
          <w:kern w:val="0"/>
          <w:sz w:val="24"/>
        </w:rPr>
        <w:t>水利、环境和公共设施管理业；</w:t>
      </w:r>
      <w:r>
        <w:rPr>
          <w:rFonts w:ascii="仿宋" w:eastAsia="仿宋" w:hAnsi="仿宋"/>
          <w:kern w:val="0"/>
          <w:sz w:val="24"/>
        </w:rPr>
        <w:t>10.</w:t>
      </w:r>
      <w:r>
        <w:rPr>
          <w:rFonts w:ascii="仿宋" w:eastAsia="仿宋" w:hAnsi="仿宋" w:hint="eastAsia"/>
          <w:kern w:val="0"/>
          <w:sz w:val="24"/>
        </w:rPr>
        <w:t>卫生和社会工作；</w:t>
      </w:r>
      <w:r>
        <w:rPr>
          <w:rFonts w:ascii="仿宋" w:eastAsia="仿宋" w:hAnsi="仿宋"/>
          <w:kern w:val="0"/>
          <w:sz w:val="24"/>
        </w:rPr>
        <w:t>11.</w:t>
      </w:r>
      <w:r>
        <w:rPr>
          <w:rFonts w:ascii="仿宋" w:eastAsia="仿宋" w:hAnsi="仿宋" w:hint="eastAsia"/>
          <w:kern w:val="0"/>
          <w:sz w:val="24"/>
        </w:rPr>
        <w:t>文化、体育和娱乐业。</w:t>
      </w:r>
    </w:p>
    <w:p w14:paraId="783686AE" w14:textId="77777777" w:rsidR="00932EE8" w:rsidRDefault="00000000">
      <w:pPr>
        <w:spacing w:line="360" w:lineRule="exact"/>
        <w:ind w:firstLine="480"/>
        <w:jc w:val="left"/>
        <w:rPr>
          <w:rFonts w:ascii="仿宋" w:eastAsia="仿宋" w:hAnsi="仿宋" w:hint="eastAsia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 w14:paraId="5ED9C3BC" w14:textId="77777777" w:rsidR="00932EE8" w:rsidRDefault="00932EE8">
      <w:pPr>
        <w:widowControl/>
        <w:ind w:firstLineChars="0" w:firstLine="0"/>
        <w:jc w:val="left"/>
        <w:rPr>
          <w:rFonts w:ascii="黑体" w:eastAsia="黑体" w:hAnsi="黑体" w:cs="黑体" w:hint="eastAsia"/>
          <w:bCs/>
          <w:szCs w:val="32"/>
        </w:rPr>
      </w:pPr>
    </w:p>
    <w:sectPr w:rsidR="00932E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E48E2" w14:textId="77777777" w:rsidR="00FD6209" w:rsidRDefault="00FD6209">
      <w:pPr>
        <w:ind w:firstLine="640"/>
      </w:pPr>
      <w:r>
        <w:separator/>
      </w:r>
    </w:p>
  </w:endnote>
  <w:endnote w:type="continuationSeparator" w:id="0">
    <w:p w14:paraId="7F9F94E1" w14:textId="77777777" w:rsidR="00FD6209" w:rsidRDefault="00FD6209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FC319" w14:textId="77777777" w:rsidR="00932EE8" w:rsidRDefault="00932E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2251E" w14:textId="77777777" w:rsidR="00932EE8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7DC695A9" wp14:editId="46686F3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F7EECA4" w14:textId="77777777" w:rsidR="00932EE8" w:rsidRDefault="00932EE8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DC695A9" id="文本框 1" o:spid="_x0000_s1026" style="position:absolute;left:0;text-align:left;margin-left:92.8pt;margin-top:0;width:2in;height:2in;z-index:2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" filled="f" stroked="f">
              <v:textbox style="mso-fit-shape-to-text:t" inset="0,0,0,0">
                <w:txbxContent>
                  <w:p w14:paraId="2F7EECA4" w14:textId="77777777" w:rsidR="00932EE8" w:rsidRDefault="00932EE8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ab/>
    </w:r>
    <w:r>
      <w:rPr>
        <w:rFonts w:ascii="宋体" w:hAnsi="宋体" w:hint="eastAsia"/>
        <w:szCs w:val="28"/>
      </w:rPr>
      <w:t xml:space="preserve">— </w:t>
    </w:r>
    <w:r>
      <w:rPr>
        <w:rFonts w:cs="Times New Roman"/>
        <w:szCs w:val="28"/>
      </w:rPr>
      <w:fldChar w:fldCharType="begin"/>
    </w:r>
    <w:r>
      <w:rPr>
        <w:rFonts w:cs="Times New Roman"/>
        <w:szCs w:val="28"/>
      </w:rPr>
      <w:instrText xml:space="preserve"> PAGE  \* MERGEFORMAT </w:instrText>
    </w:r>
    <w:r>
      <w:rPr>
        <w:rFonts w:cs="Times New Roman"/>
        <w:szCs w:val="28"/>
      </w:rPr>
      <w:fldChar w:fldCharType="separate"/>
    </w:r>
    <w:r>
      <w:rPr>
        <w:rFonts w:cs="Times New Roman"/>
        <w:szCs w:val="28"/>
      </w:rPr>
      <w:t>1</w:t>
    </w:r>
    <w:r>
      <w:rPr>
        <w:rFonts w:cs="Times New Roman"/>
        <w:szCs w:val="28"/>
      </w:rPr>
      <w:fldChar w:fldCharType="end"/>
    </w:r>
    <w:r>
      <w:rPr>
        <w:rFonts w:ascii="宋体" w:hAnsi="宋体" w:hint="eastAsia"/>
        <w:szCs w:val="28"/>
      </w:rPr>
      <w:t xml:space="preserve"> —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84566" w14:textId="77777777" w:rsidR="00B83EA3" w:rsidRDefault="00B83EA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4B856" w14:textId="77777777" w:rsidR="00FD6209" w:rsidRDefault="00FD6209">
      <w:pPr>
        <w:ind w:firstLine="640"/>
      </w:pPr>
      <w:r>
        <w:separator/>
      </w:r>
    </w:p>
  </w:footnote>
  <w:footnote w:type="continuationSeparator" w:id="0">
    <w:p w14:paraId="27CE43C2" w14:textId="77777777" w:rsidR="00FD6209" w:rsidRDefault="00FD6209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A9D88" w14:textId="77777777" w:rsidR="00932EE8" w:rsidRDefault="00932EE8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F38D4" w14:textId="77777777" w:rsidR="00932EE8" w:rsidRDefault="00932EE8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D36F3" w14:textId="77777777" w:rsidR="00932EE8" w:rsidRDefault="00932EE8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26F83062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69948672">
    <w:abstractNumId w:val="1"/>
  </w:num>
  <w:num w:numId="2" w16cid:durableId="134212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evenAndOddHeaders/>
  <w:drawingGridHorizontalSpacing w:val="320"/>
  <w:drawingGridVerticalSpacing w:val="29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EE8"/>
    <w:rsid w:val="00932EE8"/>
    <w:rsid w:val="009A7162"/>
    <w:rsid w:val="00B11B45"/>
    <w:rsid w:val="00B83EA3"/>
    <w:rsid w:val="00CC38F9"/>
    <w:rsid w:val="00D64A89"/>
    <w:rsid w:val="00F2254D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8C48C2"/>
  <w15:docId w15:val="{4944B7CD-E13D-4673-AE7D-0C1E4E49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880"/>
      <w:jc w:val="both"/>
    </w:pPr>
    <w:rPr>
      <w:rFonts w:eastAsia="仿宋_GB2312" w:cs="宋体"/>
      <w:kern w:val="2"/>
      <w:sz w:val="32"/>
      <w:szCs w:val="24"/>
    </w:rPr>
  </w:style>
  <w:style w:type="paragraph" w:styleId="1">
    <w:name w:val="heading 1"/>
    <w:basedOn w:val="a0"/>
    <w:next w:val="a"/>
    <w:uiPriority w:val="9"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uiPriority w:val="10"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30">
    <w:name w:val="Body Text 3"/>
    <w:basedOn w:val="a"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qFormat/>
  </w:style>
  <w:style w:type="paragraph" w:styleId="ab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4"/>
    <w:next w:val="a4"/>
    <w:link w:val="ad"/>
    <w:qFormat/>
    <w:rPr>
      <w:b/>
      <w:bCs/>
    </w:rPr>
  </w:style>
  <w:style w:type="table" w:styleId="ae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1"/>
    <w:qFormat/>
    <w:rPr>
      <w:sz w:val="21"/>
      <w:szCs w:val="21"/>
    </w:rPr>
  </w:style>
  <w:style w:type="character" w:customStyle="1" w:styleId="a9">
    <w:name w:val="页脚 字符"/>
    <w:basedOn w:val="a1"/>
    <w:link w:val="a8"/>
    <w:uiPriority w:val="99"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uiPriority w:val="99"/>
    <w:qFormat/>
    <w:pPr>
      <w:ind w:firstLine="420"/>
    </w:pPr>
  </w:style>
  <w:style w:type="paragraph" w:styleId="af0">
    <w:name w:val="List Paragraph"/>
    <w:basedOn w:val="a"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qFormat/>
    <w:rPr>
      <w:rFonts w:eastAsia="仿宋_GB2312" w:cs="宋体"/>
      <w:kern w:val="2"/>
      <w:sz w:val="32"/>
      <w:szCs w:val="24"/>
    </w:rPr>
  </w:style>
  <w:style w:type="character" w:customStyle="1" w:styleId="ad">
    <w:name w:val="批注主题 字符"/>
    <w:basedOn w:val="a5"/>
    <w:link w:val="ac"/>
    <w:qFormat/>
    <w:rPr>
      <w:rFonts w:eastAsia="仿宋_GB2312" w:cs="宋体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272</Words>
  <Characters>1554</Characters>
  <Application>Microsoft Office Word</Application>
  <DocSecurity>0</DocSecurity>
  <Lines>12</Lines>
  <Paragraphs>3</Paragraphs>
  <ScaleCrop>false</ScaleCrop>
  <Company>微软中国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5</cp:revision>
  <cp:lastPrinted>2024-03-19T05:39:00Z</cp:lastPrinted>
  <dcterms:created xsi:type="dcterms:W3CDTF">2021-06-30T08:42:00Z</dcterms:created>
  <dcterms:modified xsi:type="dcterms:W3CDTF">2024-07-24T01:36:00Z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c54c3df46b9b431884b9470f6c71ca6a_23</vt:lpwstr>
  </property>
</Properties>
</file>