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长城小标宋体" w:hAnsi="长城小标宋体" w:eastAsia="长城小标宋体" w:cs="长城小标宋体"/>
          <w:b/>
          <w:sz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</w:rPr>
        <w:t>技术需求调查表</w:t>
      </w:r>
    </w:p>
    <w:tbl>
      <w:tblPr>
        <w:tblStyle w:val="14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芜湖佳宏新材料股份有限公司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芜湖市鸠江区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电伴热产品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34659.82（万元）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  2051.5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1"/>
                <w:szCs w:val="21"/>
              </w:rPr>
              <w:t>☑</w:t>
            </w:r>
            <w:r>
              <w:rPr>
                <w:rFonts w:hint="eastAsia" w:cs="宋体"/>
                <w:kern w:val="0"/>
                <w:sz w:val="21"/>
                <w:szCs w:val="21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1"/>
                <w:szCs w:val="21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</w:rPr>
              <w:t>☑</w:t>
            </w:r>
            <w:r>
              <w:rPr>
                <w:rFonts w:hint="eastAsia" w:cs="宋体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新能源动力电池用PTC加热膜</w:t>
            </w:r>
            <w:r>
              <w:rPr>
                <w:rFonts w:hint="eastAsia"/>
                <w:kern w:val="0"/>
                <w:sz w:val="24"/>
              </w:rPr>
              <w:t>技术对接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□新一代信息技术 □人工智能 ☑新材料 □新能源和节能环保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☑新能源汽车和智能网联汽车  □高端装备制造 □智能家电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□大健康和绿色食品 □数字创意（线上经济） □航空航天（低空经济） □其他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☑技术研发（关键、核心技术）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☑产品研发（产品升级、新产品研发）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□技术改造（设备、研发生产条件）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>☑技术配套（技术、产品等配套合作）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0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（需求解决的技术问题、技术需求提出背景及技术应用领域、技术难点、主要技术经济指标等其他内容）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新能源汽车动力电池，特别是目前主流的锂电池（三元锂电池和磷酸铁锂电池）在低环境温度下阻抗成倍增加，充放电效率极低，且低温运行对电池的使用寿命、续航里程和安全性产生较大影响，因此需要对电池进行加热升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现有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（企业取得省级以上研发平台名称、研发人员数量、项目研发所处阶段、仪器设备条件等其他内容）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>芜湖佳宏新材料股份有限公司拥有省级企业技术中心，中心研发人员共85名。</w:t>
            </w:r>
            <w:r>
              <w:rPr>
                <w:rFonts w:hint="eastAsia" w:cs="宋体"/>
                <w:kern w:val="0"/>
                <w:sz w:val="24"/>
              </w:rPr>
              <w:t>佳宏具有自控温伴热带用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>半导体材料的成功开发和应用经验，研发团队人员具有开发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>材料的基础经验，并掌握聚合物基材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 xml:space="preserve">材料的基础原理与实验方法，具备开发的理论技术基础。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研发装备</w:t>
            </w:r>
            <w:r>
              <w:rPr>
                <w:rFonts w:hint="eastAsia" w:cs="宋体"/>
                <w:kern w:val="0"/>
                <w:sz w:val="24"/>
              </w:rPr>
              <w:t>：我司试验设备与中试设备可应用于电池加热用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 xml:space="preserve">膜材料研发，工艺方法也有可借鉴性， 具备开展相关试验的基础条件。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材料与工艺</w:t>
            </w:r>
            <w:r>
              <w:rPr>
                <w:rFonts w:hint="eastAsia" w:cs="宋体"/>
                <w:kern w:val="0"/>
                <w:sz w:val="24"/>
              </w:rPr>
              <w:t>：经过系统设计和验证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>材料具有呈现低电阻率（</w:t>
            </w:r>
            <w:r>
              <w:rPr>
                <w:rFonts w:cs="宋体"/>
                <w:kern w:val="0"/>
                <w:sz w:val="24"/>
              </w:rPr>
              <w:t>0.1Ω.cm</w:t>
            </w:r>
            <w:r>
              <w:rPr>
                <w:rFonts w:hint="eastAsia" w:cs="宋体"/>
                <w:kern w:val="0"/>
                <w:sz w:val="24"/>
              </w:rPr>
              <w:t>）的可能，且电阻率可通过配比和加工工艺调节，可以满足高伴热功率（</w:t>
            </w:r>
            <w:r>
              <w:rPr>
                <w:rFonts w:cs="宋体"/>
                <w:kern w:val="0"/>
                <w:sz w:val="24"/>
              </w:rPr>
              <w:t>0.5W/cm²</w:t>
            </w:r>
            <w:r>
              <w:rPr>
                <w:rFonts w:hint="eastAsia" w:cs="宋体"/>
                <w:kern w:val="0"/>
                <w:sz w:val="24"/>
              </w:rPr>
              <w:t>）的应用需求；且其特殊的正温度系数效应可以从根本上解决过热烧毁的隐患，当局部温度过高时，该部位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>材料电阻率上升，相应的发热功率下降，从而温度下降，避免温度持续上升；同时高分子半导体</w:t>
            </w:r>
            <w:r>
              <w:rPr>
                <w:rFonts w:cs="宋体"/>
                <w:kern w:val="0"/>
                <w:sz w:val="24"/>
              </w:rPr>
              <w:t>PTC</w:t>
            </w:r>
            <w:r>
              <w:rPr>
                <w:rFonts w:hint="eastAsia" w:cs="宋体"/>
                <w:kern w:val="0"/>
                <w:sz w:val="24"/>
              </w:rPr>
              <w:t xml:space="preserve">材料具有橡塑材料的加工特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性，可以满足挤出压延、吹膜、流延等成膜工艺的要求，具备成型为膜的工艺基础。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41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简要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（希望与哪类高校、科研院所开展产学研合作，共建创新载体，以及对专家及团队所属领域和水平的要求）</w:t>
            </w:r>
            <w:bookmarkStart w:id="0" w:name="_GoBack"/>
            <w:bookmarkEnd w:id="0"/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希望与新能源电池厂家开展技术交流合作。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合作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□技术转让    □技术入股   ☑联合开发   □委托研发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□产品/服务市场占有率分析  □市场前景分析  ☑企业发展战略咨询           □其他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与高校、科研院所已开展合作情况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同意公开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cs="宋体"/>
                <w:sz w:val="24"/>
              </w:rPr>
              <w:t xml:space="preserve"> □否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sz w:val="24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</w:rPr>
              <w:t>部分公开（说明）</w:t>
            </w:r>
            <w:r>
              <w:rPr>
                <w:rFonts w:hint="eastAsia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同意接受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</w:rPr>
              <w:t xml:space="preserve">是               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□</w:t>
            </w:r>
            <w:r>
              <w:rPr>
                <w:rFonts w:hint="eastAsia" w:cs="宋体"/>
                <w:kern w:val="0"/>
                <w:sz w:val="24"/>
              </w:rPr>
              <w:t>否</w:t>
            </w:r>
          </w:p>
        </w:tc>
      </w:tr>
    </w:tbl>
    <w:p>
      <w:pPr>
        <w:spacing w:line="360" w:lineRule="exact"/>
        <w:ind w:firstLine="0" w:firstLineChars="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填表说明：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一、所述行业：1</w:t>
      </w:r>
      <w:r>
        <w:rPr>
          <w:rFonts w:ascii="仿宋" w:hAnsi="仿宋" w:eastAsia="仿宋" w:cs="宋体"/>
          <w:kern w:val="0"/>
          <w:sz w:val="24"/>
        </w:rPr>
        <w:t>.</w:t>
      </w:r>
      <w:r>
        <w:rPr>
          <w:rFonts w:hint="eastAsia" w:ascii="仿宋" w:hAnsi="仿宋" w:eastAsia="仿宋" w:cs="宋体"/>
          <w:kern w:val="0"/>
          <w:sz w:val="24"/>
        </w:rPr>
        <w:t>农、林、牧、渔业；</w:t>
      </w:r>
      <w:r>
        <w:rPr>
          <w:rFonts w:ascii="仿宋" w:hAnsi="仿宋" w:eastAsia="仿宋" w:cs="宋体"/>
          <w:kern w:val="0"/>
          <w:sz w:val="24"/>
        </w:rPr>
        <w:t>2.</w:t>
      </w:r>
      <w:r>
        <w:rPr>
          <w:rFonts w:hint="eastAsia" w:ascii="仿宋" w:hAnsi="仿宋" w:eastAsia="仿宋" w:cs="宋体"/>
          <w:kern w:val="0"/>
          <w:sz w:val="24"/>
        </w:rPr>
        <w:t>采矿业；</w:t>
      </w:r>
      <w:r>
        <w:rPr>
          <w:rFonts w:ascii="仿宋" w:hAnsi="仿宋" w:eastAsia="仿宋" w:cs="宋体"/>
          <w:kern w:val="0"/>
          <w:sz w:val="24"/>
        </w:rPr>
        <w:t>3.</w:t>
      </w:r>
      <w:r>
        <w:rPr>
          <w:rFonts w:hint="eastAsia" w:ascii="仿宋" w:hAnsi="仿宋" w:eastAsia="仿宋" w:cs="宋体"/>
          <w:kern w:val="0"/>
          <w:sz w:val="24"/>
        </w:rPr>
        <w:t>制造业；</w:t>
      </w:r>
      <w:r>
        <w:rPr>
          <w:rFonts w:ascii="仿宋" w:hAnsi="仿宋" w:eastAsia="仿宋" w:cs="宋体"/>
          <w:kern w:val="0"/>
          <w:sz w:val="24"/>
        </w:rPr>
        <w:t>4.</w:t>
      </w:r>
      <w:r>
        <w:rPr>
          <w:rFonts w:hint="eastAsia" w:ascii="仿宋" w:hAnsi="仿宋" w:eastAsia="仿宋" w:cs="宋体"/>
          <w:kern w:val="0"/>
          <w:sz w:val="24"/>
        </w:rPr>
        <w:t>电力、热力、燃气及水生产和供应业；</w:t>
      </w:r>
      <w:r>
        <w:rPr>
          <w:rFonts w:ascii="仿宋" w:hAnsi="仿宋" w:eastAsia="仿宋" w:cs="宋体"/>
          <w:kern w:val="0"/>
          <w:sz w:val="24"/>
        </w:rPr>
        <w:t>5</w:t>
      </w:r>
      <w:r>
        <w:rPr>
          <w:rFonts w:hint="eastAsia" w:ascii="仿宋" w:hAnsi="仿宋" w:eastAsia="仿宋" w:cs="宋体"/>
          <w:kern w:val="0"/>
          <w:sz w:val="24"/>
        </w:rPr>
        <w:t>.建筑业；</w:t>
      </w:r>
      <w:r>
        <w:rPr>
          <w:rFonts w:ascii="仿宋" w:hAnsi="仿宋" w:eastAsia="仿宋" w:cs="宋体"/>
          <w:kern w:val="0"/>
          <w:sz w:val="24"/>
        </w:rPr>
        <w:t>6.</w:t>
      </w:r>
      <w:r>
        <w:rPr>
          <w:rFonts w:hint="eastAsia" w:ascii="仿宋" w:hAnsi="仿宋" w:eastAsia="仿宋" w:cs="宋体"/>
          <w:kern w:val="0"/>
          <w:sz w:val="24"/>
        </w:rPr>
        <w:t>交通运输、仓储和邮政业；</w:t>
      </w:r>
      <w:r>
        <w:rPr>
          <w:rFonts w:ascii="仿宋" w:hAnsi="仿宋" w:eastAsia="仿宋" w:cs="宋体"/>
          <w:kern w:val="0"/>
          <w:sz w:val="24"/>
        </w:rPr>
        <w:t>7.</w:t>
      </w:r>
      <w:r>
        <w:rPr>
          <w:rFonts w:hint="eastAsia" w:ascii="仿宋" w:hAnsi="仿宋" w:eastAsia="仿宋" w:cs="宋体"/>
          <w:kern w:val="0"/>
          <w:sz w:val="24"/>
        </w:rPr>
        <w:t>信息传输、软件和信息技术服务业；</w:t>
      </w:r>
      <w:r>
        <w:rPr>
          <w:rFonts w:ascii="仿宋" w:hAnsi="仿宋" w:eastAsia="仿宋" w:cs="宋体"/>
          <w:kern w:val="0"/>
          <w:sz w:val="24"/>
        </w:rPr>
        <w:t>8.</w:t>
      </w:r>
      <w:r>
        <w:rPr>
          <w:rFonts w:hint="eastAsia" w:ascii="仿宋" w:hAnsi="仿宋" w:eastAsia="仿宋" w:cs="宋体"/>
          <w:kern w:val="0"/>
          <w:sz w:val="24"/>
        </w:rPr>
        <w:t>科学研究和技术服务业；</w:t>
      </w:r>
      <w:r>
        <w:rPr>
          <w:rFonts w:ascii="仿宋" w:hAnsi="仿宋" w:eastAsia="仿宋" w:cs="宋体"/>
          <w:kern w:val="0"/>
          <w:sz w:val="24"/>
        </w:rPr>
        <w:t>9.</w:t>
      </w:r>
      <w:r>
        <w:rPr>
          <w:rFonts w:hint="eastAsia" w:ascii="仿宋" w:hAnsi="仿宋" w:eastAsia="仿宋" w:cs="宋体"/>
          <w:kern w:val="0"/>
          <w:sz w:val="24"/>
        </w:rPr>
        <w:t>水利、环境和公共设施管理业；</w:t>
      </w:r>
      <w:r>
        <w:rPr>
          <w:rFonts w:ascii="仿宋" w:hAnsi="仿宋" w:eastAsia="仿宋" w:cs="宋体"/>
          <w:kern w:val="0"/>
          <w:sz w:val="24"/>
        </w:rPr>
        <w:t>10.</w:t>
      </w:r>
      <w:r>
        <w:rPr>
          <w:rFonts w:hint="eastAsia" w:ascii="仿宋" w:hAnsi="仿宋" w:eastAsia="仿宋" w:cs="宋体"/>
          <w:kern w:val="0"/>
          <w:sz w:val="24"/>
        </w:rPr>
        <w:t>卫生和社会工作；</w:t>
      </w:r>
      <w:r>
        <w:rPr>
          <w:rFonts w:ascii="仿宋" w:hAnsi="仿宋" w:eastAsia="仿宋" w:cs="宋体"/>
          <w:kern w:val="0"/>
          <w:sz w:val="24"/>
        </w:rPr>
        <w:t>11.</w:t>
      </w:r>
      <w:r>
        <w:rPr>
          <w:rFonts w:hint="eastAsia" w:ascii="仿宋" w:hAnsi="仿宋" w:eastAsia="仿宋" w:cs="宋体"/>
          <w:kern w:val="0"/>
          <w:sz w:val="24"/>
        </w:rPr>
        <w:t>文化、体育和娱乐业。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>
      <w:pPr>
        <w:widowControl/>
        <w:ind w:firstLine="0" w:firstLineChars="0"/>
        <w:jc w:val="left"/>
        <w:rPr>
          <w:rFonts w:hint="eastAsia" w:ascii="黑体" w:hAnsi="黑体" w:eastAsia="黑体" w:cs="黑体"/>
          <w:bCs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1417" w:gutter="0"/>
      <w:pgNumType w:start="1"/>
      <w:cols w:space="0" w:num="1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lear" w:pos="4153"/>
      </w:tabs>
      <w:wordWrap w:val="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eastAsia="仿宋_GB23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 w:asciiTheme="minorEastAsia" w:hAnsiTheme="minorEastAsia" w:eastAsiaTheme="minorEastAsia" w:cstheme="minorEastAsia"/>
        <w:szCs w:val="28"/>
      </w:rPr>
      <w:t xml:space="preserve">— </w:t>
    </w:r>
    <w:r>
      <w:rPr>
        <w:rFonts w:cs="Times New Roman" w:eastAsiaTheme="minorEastAsia"/>
        <w:szCs w:val="28"/>
      </w:rPr>
      <w:fldChar w:fldCharType="begin"/>
    </w:r>
    <w:r>
      <w:rPr>
        <w:rFonts w:cs="Times New Roman" w:eastAsiaTheme="minorEastAsia"/>
        <w:szCs w:val="28"/>
      </w:rPr>
      <w:instrText xml:space="preserve"> PAGE  \* MERGEFORMAT </w:instrText>
    </w:r>
    <w:r>
      <w:rPr>
        <w:rFonts w:cs="Times New Roman" w:eastAsiaTheme="minorEastAsia"/>
        <w:szCs w:val="28"/>
      </w:rPr>
      <w:fldChar w:fldCharType="separate"/>
    </w:r>
    <w:r>
      <w:rPr>
        <w:rFonts w:cs="Times New Roman" w:eastAsiaTheme="minorEastAsia"/>
        <w:szCs w:val="28"/>
      </w:rPr>
      <w:t>1</w:t>
    </w:r>
    <w:r>
      <w:rPr>
        <w:rFonts w:cs="Times New Roman" w:eastAsiaTheme="minorEastAsia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Cs w:val="28"/>
      </w:rPr>
      <w:t xml:space="preserve"> —</w:t>
    </w:r>
    <w:r>
      <w:rPr>
        <w:rFonts w:hint="eastAsia" w:ascii="宋体" w:hAnsi="宋体" w:cs="宋体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BBD55"/>
    <w:multiLevelType w:val="singleLevel"/>
    <w:tmpl w:val="2F1BBD55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A169ADF"/>
    <w:multiLevelType w:val="singleLevel"/>
    <w:tmpl w:val="5A169ADF"/>
    <w:lvl w:ilvl="0" w:tentative="0">
      <w:start w:val="1"/>
      <w:numFmt w:val="chineseCounting"/>
      <w:pStyle w:val="5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documentProtection w:enforcement="0"/>
  <w:defaultTabStop w:val="420"/>
  <w:evenAndOddHeaders w:val="1"/>
  <w:drawingGridHorizontalSpacing w:val="320"/>
  <w:drawingGridVerticalSpacing w:val="290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ZDgxMjg0ZGQ1M2M4Yzg1NGYwNzUxNDFhYjBjM2MifQ=="/>
  </w:docVars>
  <w:rsids>
    <w:rsidRoot w:val="79FC669C"/>
    <w:rsid w:val="0002333C"/>
    <w:rsid w:val="00060505"/>
    <w:rsid w:val="0009366D"/>
    <w:rsid w:val="000D138D"/>
    <w:rsid w:val="001554EA"/>
    <w:rsid w:val="00165BBD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B47E3"/>
    <w:rsid w:val="00507F22"/>
    <w:rsid w:val="0063722E"/>
    <w:rsid w:val="0065649F"/>
    <w:rsid w:val="006F3614"/>
    <w:rsid w:val="006F5501"/>
    <w:rsid w:val="00735881"/>
    <w:rsid w:val="00766F52"/>
    <w:rsid w:val="008469CF"/>
    <w:rsid w:val="008D29E6"/>
    <w:rsid w:val="008F064F"/>
    <w:rsid w:val="0095160C"/>
    <w:rsid w:val="009C1D42"/>
    <w:rsid w:val="009E4072"/>
    <w:rsid w:val="00A15B9A"/>
    <w:rsid w:val="00B05B59"/>
    <w:rsid w:val="00B148B2"/>
    <w:rsid w:val="00B83E4D"/>
    <w:rsid w:val="00BA0439"/>
    <w:rsid w:val="00BB3DB1"/>
    <w:rsid w:val="00C5096C"/>
    <w:rsid w:val="00C55182"/>
    <w:rsid w:val="00CB56D1"/>
    <w:rsid w:val="00CE28CF"/>
    <w:rsid w:val="00D009C6"/>
    <w:rsid w:val="00D120F8"/>
    <w:rsid w:val="00D14D23"/>
    <w:rsid w:val="00DD5222"/>
    <w:rsid w:val="00DF0C0F"/>
    <w:rsid w:val="00E273C8"/>
    <w:rsid w:val="00E80E20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A730F0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25040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DAE5229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00" w:after="300" w:line="576" w:lineRule="auto"/>
      <w:ind w:firstLine="0" w:firstLineChars="0"/>
    </w:pPr>
    <w:rPr>
      <w:rFonts w:ascii="Times New Roman" w:hAnsi="Times New Roman" w:eastAsia="方正小标宋简体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00" w:after="100"/>
      <w:ind w:firstLine="0"/>
      <w:outlineLvl w:val="1"/>
    </w:pPr>
    <w:rPr>
      <w:rFonts w:ascii="Arial" w:hAnsi="Arial" w:eastAsia="黑体" w:cs="Times New Roman"/>
      <w:b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0"/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6">
    <w:name w:val="annotation text"/>
    <w:basedOn w:val="1"/>
    <w:link w:val="22"/>
    <w:qFormat/>
    <w:uiPriority w:val="0"/>
    <w:pPr>
      <w:jc w:val="left"/>
    </w:pPr>
  </w:style>
  <w:style w:type="paragraph" w:styleId="7">
    <w:name w:val="Body Text 3"/>
    <w:basedOn w:val="1"/>
    <w:qFormat/>
    <w:uiPriority w:val="0"/>
    <w:rPr>
      <w:rFonts w:ascii="仿宋_GB2312"/>
      <w:spacing w:val="-4"/>
      <w:sz w:val="16"/>
      <w:szCs w:val="16"/>
    </w:rPr>
  </w:style>
  <w:style w:type="paragraph" w:styleId="8">
    <w:name w:val="Body Text"/>
    <w:basedOn w:val="1"/>
    <w:qFormat/>
    <w:uiPriority w:val="0"/>
    <w:pPr>
      <w:spacing w:after="120"/>
    </w:pPr>
    <w:rPr>
      <w:rFonts w:ascii="Calibri" w:hAnsi="Calibri"/>
      <w:sz w:val="24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10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eastAsia="宋体"/>
      <w:sz w:val="2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annotation subject"/>
    <w:basedOn w:val="6"/>
    <w:next w:val="6"/>
    <w:link w:val="23"/>
    <w:qFormat/>
    <w:uiPriority w:val="0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页脚 字符"/>
    <w:basedOn w:val="16"/>
    <w:link w:val="10"/>
    <w:semiHidden/>
    <w:qFormat/>
    <w:uiPriority w:val="99"/>
    <w:rPr>
      <w:rFonts w:ascii="Times New Roman" w:hAnsi="Times New Roman" w:eastAsia="宋体"/>
      <w:sz w:val="28"/>
      <w:szCs w:val="18"/>
    </w:rPr>
  </w:style>
  <w:style w:type="paragraph" w:customStyle="1" w:styleId="19">
    <w:name w:val="List Paragraph1"/>
    <w:basedOn w:val="1"/>
    <w:qFormat/>
    <w:uiPriority w:val="0"/>
    <w:pPr>
      <w:ind w:firstLine="420"/>
    </w:pPr>
    <w:rPr>
      <w:rFonts w:ascii="Calibri" w:hAnsi="Calibri"/>
      <w:szCs w:val="22"/>
    </w:rPr>
  </w:style>
  <w:style w:type="paragraph" w:customStyle="1" w:styleId="20">
    <w:name w:val="列表段落1"/>
    <w:basedOn w:val="1"/>
    <w:unhideWhenUsed/>
    <w:qFormat/>
    <w:uiPriority w:val="99"/>
    <w:pPr>
      <w:ind w:firstLine="420"/>
    </w:p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批注文字 字符"/>
    <w:basedOn w:val="16"/>
    <w:link w:val="6"/>
    <w:qFormat/>
    <w:uiPriority w:val="0"/>
    <w:rPr>
      <w:rFonts w:eastAsia="仿宋_GB2312" w:cstheme="minorBidi"/>
      <w:kern w:val="2"/>
      <w:sz w:val="32"/>
      <w:szCs w:val="24"/>
    </w:rPr>
  </w:style>
  <w:style w:type="character" w:customStyle="1" w:styleId="23">
    <w:name w:val="批注主题 字符"/>
    <w:basedOn w:val="22"/>
    <w:link w:val="13"/>
    <w:qFormat/>
    <w:uiPriority w:val="0"/>
    <w:rPr>
      <w:rFonts w:eastAsia="仿宋_GB2312" w:cstheme="minorBidi"/>
      <w:b/>
      <w:bCs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260</Words>
  <Characters>1484</Characters>
  <Lines>12</Lines>
  <Paragraphs>3</Paragraphs>
  <TotalTime>52</TotalTime>
  <ScaleCrop>false</ScaleCrop>
  <LinksUpToDate>false</LinksUpToDate>
  <CharactersWithSpaces>1741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2021-06-30T16:42:00Z</dcterms:created>
  <dc:creator>黄山红牡丹</dc:creator>
  <cp:lastModifiedBy>Lina</cp:lastModifiedBy>
  <cp:lastPrinted>2021-06-07T09:48:00Z</cp:lastPrinted>
  <dcterms:modified xsi:type="dcterms:W3CDTF">2024-07-24T17:39:09Z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61B5BC7114F54ADA9DB6C24A30B75105_13</vt:lpwstr>
  </property>
</Properties>
</file>