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27EBB4DD">
      <w:pPr>
        <w:pStyle w:val="style0"/>
        <w:keepNext w:val="false"/>
        <w:keepLines w:val="false"/>
        <w:pageBreakBefore w:val="false"/>
        <w:widowControl w:val="false"/>
        <w:kinsoku/>
        <w:wordWrap/>
        <w:overflowPunct w:val="false"/>
        <w:topLinePunct w:val="false"/>
        <w:autoSpaceDE/>
        <w:autoSpaceDN/>
        <w:bidi w:val="false"/>
        <w:adjustRightInd w:val="false"/>
        <w:snapToGrid w:val="false"/>
        <w:spacing w:before="0" w:beforeAutospacing="false" w:after="0" w:afterAutospacing="false" w:lineRule="exact" w:line="600"/>
        <w:ind w:firstLine="0" w:firstLineChars="0"/>
        <w:jc w:val="center"/>
        <w:textAlignment w:val="auto"/>
        <w:outlineLvl w:val="9"/>
        <w:rPr>
          <w:rFonts w:ascii="仿宋_GB2312" w:cs="仿宋_GB2312" w:eastAsia="仿宋_GB2312" w:hAnsi="仿宋_GB2312" w:hint="eastAsia"/>
          <w:color w:val="auto"/>
          <w:sz w:val="36"/>
          <w:szCs w:val="36"/>
          <w:u w:val="none"/>
          <w:lang w:val="en-US" w:eastAsia="zh-CN"/>
        </w:rPr>
      </w:pPr>
      <w:r>
        <w:rPr>
          <w:rFonts w:ascii="方正小标宋简体" w:cs="方正小标宋简体" w:eastAsia="方正小标宋简体" w:hAnsi="方正小标宋简体" w:hint="eastAsia"/>
          <w:b w:val="false"/>
          <w:i w:val="false"/>
          <w:iCs w:val="false"/>
          <w:color w:val="auto"/>
          <w:spacing w:val="0"/>
          <w:kern w:val="0"/>
          <w:sz w:val="44"/>
          <w:szCs w:val="44"/>
          <w:u w:val="none"/>
          <w:shd w:val="clear" w:color="auto" w:fill="ffffff"/>
          <w:lang w:val="en-US" w:eastAsia="zh-CN"/>
        </w:rPr>
        <w:t>盘锦市市情简介</w:t>
      </w:r>
    </w:p>
    <w:p w14:paraId="52D856A5">
      <w:pPr>
        <w:pStyle w:val="style0"/>
        <w:keepNext w:val="false"/>
        <w:keepLines w:val="false"/>
        <w:pageBreakBefore w:val="false"/>
        <w:widowControl w:val="false"/>
        <w:kinsoku/>
        <w:wordWrap/>
        <w:overflowPunct w:val="false"/>
        <w:topLinePunct w:val="false"/>
        <w:autoSpaceDE/>
        <w:autoSpaceDN/>
        <w:bidi w:val="false"/>
        <w:adjustRightInd w:val="false"/>
        <w:snapToGrid w:val="false"/>
        <w:spacing w:beforeAutospacing="false" w:afterAutospacing="false" w:lineRule="auto" w:line="322"/>
        <w:ind w:firstLine="680" w:firstLineChars="200"/>
        <w:textAlignment w:val="auto"/>
        <w:rPr>
          <w:rFonts w:ascii="仿宋_GB2312" w:cs="仿宋_GB2312" w:eastAsia="仿宋_GB2312" w:hAnsi="仿宋_GB2312" w:hint="eastAsia"/>
          <w:color w:val="auto"/>
          <w:sz w:val="34"/>
          <w:szCs w:val="34"/>
          <w:u w:val="none"/>
          <w:lang w:val="en-US" w:eastAsia="zh-CN"/>
        </w:rPr>
      </w:pPr>
    </w:p>
    <w:p w14:paraId="0B70952F">
      <w:pPr>
        <w:pStyle w:val="style0"/>
        <w:keepNext w:val="false"/>
        <w:keepLines w:val="false"/>
        <w:pageBreakBefore w:val="false"/>
        <w:widowControl w:val="false"/>
        <w:kinsoku/>
        <w:wordWrap/>
        <w:overflowPunct w:val="false"/>
        <w:topLinePunct w:val="false"/>
        <w:autoSpaceDE/>
        <w:autoSpaceDN/>
        <w:bidi w:val="false"/>
        <w:adjustRightInd w:val="false"/>
        <w:snapToGrid w:val="false"/>
        <w:spacing w:beforeAutospacing="false" w:afterAutospacing="false" w:lineRule="auto" w:line="322"/>
        <w:ind w:firstLine="680" w:firstLineChars="200"/>
        <w:textAlignment w:val="auto"/>
        <w:rPr>
          <w:rFonts w:ascii="仿宋_GB2312" w:cs="仿宋_GB2312" w:eastAsia="仿宋_GB2312" w:hAnsi="仿宋_GB2312" w:hint="eastAsia"/>
          <w:color w:val="auto"/>
          <w:sz w:val="34"/>
          <w:szCs w:val="34"/>
          <w:u w:val="none"/>
          <w:lang w:val="en-US" w:eastAsia="zh-CN"/>
        </w:rPr>
      </w:pPr>
      <w:r>
        <w:rPr>
          <w:rFonts w:ascii="仿宋_GB2312" w:cs="仿宋_GB2312" w:eastAsia="仿宋_GB2312" w:hAnsi="仿宋_GB2312" w:hint="eastAsia"/>
          <w:color w:val="auto"/>
          <w:sz w:val="34"/>
          <w:szCs w:val="34"/>
          <w:u w:val="none"/>
          <w:lang w:val="en-US" w:eastAsia="zh-CN"/>
        </w:rPr>
        <w:t>盘锦于1984年6月建市，位于辽宁省西南部，辽河三角洲中心地带，地势平坦、多水无山，属暖温带大陆性半湿润季风气候，四季分明，雨热同季，干冷同期，温度适宜，光照充裕。土地面积4062.34平方公里，海域面积1425平方公里，海岸线124.15公里，是中国“最北海岸线”。下辖盘山县、双台子区、兴隆台区、大洼区，共21个镇、27个街道，285个村、253个社区，常住人口137.6万人，户籍人口128万人。2024年，全市地区生产总值实现1413.5亿元、全省第五，</w:t>
      </w:r>
      <w:r>
        <w:rPr>
          <w:rFonts w:ascii="仿宋_GB2312" w:cs="仿宋_GB2312" w:eastAsia="仿宋_GB2312" w:hAnsi="仿宋_GB2312" w:hint="eastAsia"/>
          <w:color w:val="auto"/>
          <w:sz w:val="34"/>
          <w:szCs w:val="34"/>
          <w:u w:val="none"/>
          <w:lang w:eastAsia="zh-CN"/>
        </w:rPr>
        <w:t>一般公共预算收入完成140.5亿元、全省第</w:t>
      </w:r>
      <w:r>
        <w:rPr>
          <w:rFonts w:ascii="仿宋_GB2312" w:cs="仿宋_GB2312" w:eastAsia="仿宋_GB2312" w:hAnsi="仿宋_GB2312" w:hint="eastAsia"/>
          <w:color w:val="auto"/>
          <w:sz w:val="34"/>
          <w:szCs w:val="34"/>
          <w:u w:val="none"/>
          <w:lang w:val="en-US" w:eastAsia="zh-CN"/>
        </w:rPr>
        <w:t>五，</w:t>
      </w:r>
      <w:r>
        <w:rPr>
          <w:rFonts w:ascii="仿宋_GB2312" w:cs="仿宋_GB2312" w:eastAsia="仿宋_GB2312" w:hAnsi="仿宋_GB2312" w:hint="eastAsia"/>
          <w:color w:val="auto"/>
          <w:sz w:val="34"/>
          <w:szCs w:val="34"/>
          <w:u w:val="none"/>
          <w:lang w:eastAsia="zh-CN"/>
        </w:rPr>
        <w:t>人均地区生产总值全省第二，城乡居民人均可支配收入全省</w:t>
      </w:r>
      <w:r>
        <w:rPr>
          <w:rFonts w:ascii="仿宋_GB2312" w:cs="仿宋_GB2312" w:eastAsia="仿宋_GB2312" w:hAnsi="仿宋_GB2312" w:hint="eastAsia"/>
          <w:color w:val="auto"/>
          <w:sz w:val="34"/>
          <w:szCs w:val="34"/>
          <w:u w:val="none"/>
          <w:lang w:val="en-US" w:eastAsia="zh-CN"/>
        </w:rPr>
        <w:t>第</w:t>
      </w:r>
      <w:r>
        <w:rPr>
          <w:rFonts w:ascii="仿宋_GB2312" w:cs="仿宋_GB2312" w:eastAsia="仿宋_GB2312" w:hAnsi="仿宋_GB2312" w:hint="eastAsia"/>
          <w:color w:val="auto"/>
          <w:sz w:val="34"/>
          <w:szCs w:val="34"/>
          <w:u w:val="none"/>
          <w:lang w:eastAsia="zh-CN"/>
        </w:rPr>
        <w:t>三</w:t>
      </w:r>
      <w:r>
        <w:rPr>
          <w:rFonts w:ascii="仿宋_GB2312" w:cs="仿宋_GB2312" w:eastAsia="仿宋_GB2312" w:hAnsi="仿宋_GB2312" w:hint="eastAsia"/>
          <w:color w:val="auto"/>
          <w:sz w:val="34"/>
          <w:szCs w:val="34"/>
          <w:u w:val="none"/>
          <w:lang w:val="en-US" w:eastAsia="zh-CN"/>
        </w:rPr>
        <w:t>。</w:t>
      </w:r>
    </w:p>
    <w:p w14:paraId="5CA72A90">
      <w:pPr>
        <w:pStyle w:val="style0"/>
        <w:keepNext w:val="false"/>
        <w:keepLines w:val="false"/>
        <w:pageBreakBefore w:val="false"/>
        <w:widowControl w:val="false"/>
        <w:kinsoku/>
        <w:wordWrap/>
        <w:overflowPunct w:val="false"/>
        <w:topLinePunct w:val="false"/>
        <w:autoSpaceDE/>
        <w:autoSpaceDN/>
        <w:bidi w:val="false"/>
        <w:adjustRightInd w:val="false"/>
        <w:snapToGrid w:val="false"/>
        <w:spacing w:beforeAutospacing="false" w:afterAutospacing="false" w:lineRule="auto" w:line="322"/>
        <w:ind w:firstLine="680" w:firstLineChars="200"/>
        <w:textAlignment w:val="auto"/>
        <w:rPr>
          <w:rFonts w:ascii="仿宋_GB2312" w:cs="仿宋_GB2312" w:eastAsia="仿宋_GB2312" w:hAnsi="仿宋_GB2312" w:hint="eastAsia"/>
          <w:color w:val="auto"/>
          <w:sz w:val="34"/>
          <w:szCs w:val="34"/>
          <w:u w:val="none"/>
          <w:lang w:val="en-US" w:eastAsia="zh-CN"/>
        </w:rPr>
      </w:pPr>
      <w:r>
        <w:rPr>
          <w:rFonts w:ascii="楷体_GB2312" w:cs="楷体_GB2312" w:eastAsia="楷体_GB2312" w:hAnsi="楷体_GB2312" w:hint="eastAsia"/>
          <w:color w:val="auto"/>
          <w:sz w:val="34"/>
          <w:szCs w:val="34"/>
          <w:u w:val="none"/>
          <w:lang w:val="en-US" w:eastAsia="zh-CN"/>
        </w:rPr>
        <w:t>盘锦是石化之城。</w:t>
      </w:r>
      <w:r>
        <w:rPr>
          <w:rFonts w:ascii="仿宋_GB2312" w:cs="仿宋_GB2312" w:eastAsia="仿宋_GB2312" w:hAnsi="仿宋_GB2312" w:hint="eastAsia"/>
          <w:color w:val="auto"/>
          <w:sz w:val="34"/>
          <w:szCs w:val="34"/>
          <w:u w:val="none"/>
          <w:lang w:val="en-US" w:eastAsia="zh-CN"/>
        </w:rPr>
        <w:t>因油而生、因化而兴，全国最大的稠油、高凝油生产基地—辽河油田坐落于此，连续39年保持油气千万吨规模稳产。辽河储气库群库容规模和日调峰能力居全国首位，累计采气量突破“百亿方”。精细化工中试基地纳入国家级制造业中试平台重点培育库，大（连）盘（锦）绿色石化集群跻身国家级先进制造业集群行列。石化行业营业收入连续6年保持在2000亿元左右，成为第一支柱产业，约占全市规上工业的65%、全省石化产业的20%，化工精细化率实现46.2%。荷兰利安德巴赛尔、英国威格斯等知名外企，华锦集团、辽河石化等重要央企，金发科技、台湾长春化工等标杆民企均集聚盘锦。总投资837亿元的华锦阿美精细化工及原料工程项目加快建设，预计2026年6月30日投料试车，项目建成后，全市炼油能力达4500万吨/年、乙烯315万吨/年、丙烯280万吨/年，为打造全国重要的石化及精细化工产业基地奠定了坚实基础。</w:t>
      </w:r>
    </w:p>
    <w:p w14:paraId="4AF529D2">
      <w:pPr>
        <w:pStyle w:val="style0"/>
        <w:keepNext w:val="false"/>
        <w:keepLines w:val="false"/>
        <w:pageBreakBefore w:val="false"/>
        <w:widowControl w:val="false"/>
        <w:kinsoku/>
        <w:wordWrap/>
        <w:overflowPunct w:val="false"/>
        <w:topLinePunct w:val="false"/>
        <w:autoSpaceDE/>
        <w:autoSpaceDN/>
        <w:bidi w:val="false"/>
        <w:adjustRightInd w:val="false"/>
        <w:snapToGrid w:val="false"/>
        <w:spacing w:beforeAutospacing="false" w:afterAutospacing="false" w:lineRule="auto" w:line="322"/>
        <w:ind w:firstLine="680" w:firstLineChars="200"/>
        <w:textAlignment w:val="auto"/>
        <w:rPr>
          <w:rFonts w:ascii="仿宋_GB2312" w:cs="仿宋_GB2312" w:eastAsia="仿宋_GB2312" w:hAnsi="仿宋_GB2312" w:hint="eastAsia"/>
          <w:color w:val="auto"/>
          <w:sz w:val="34"/>
          <w:szCs w:val="34"/>
          <w:u w:val="none"/>
          <w:lang w:val="en-US" w:eastAsia="zh-CN"/>
        </w:rPr>
      </w:pPr>
      <w:r>
        <w:rPr>
          <w:rFonts w:ascii="楷体_GB2312" w:cs="楷体_GB2312" w:eastAsia="楷体_GB2312" w:hAnsi="楷体_GB2312" w:hint="eastAsia"/>
          <w:color w:val="auto"/>
          <w:sz w:val="34"/>
          <w:szCs w:val="34"/>
          <w:u w:val="none"/>
          <w:lang w:val="en-US" w:eastAsia="zh-CN"/>
        </w:rPr>
        <w:t>盘锦是新兴港城。</w:t>
      </w:r>
      <w:r>
        <w:rPr>
          <w:rFonts w:ascii="仿宋_GB2312" w:cs="仿宋_GB2312" w:eastAsia="仿宋_GB2312" w:hAnsi="仿宋_GB2312" w:hint="eastAsia"/>
          <w:color w:val="auto"/>
          <w:sz w:val="34"/>
          <w:szCs w:val="34"/>
          <w:u w:val="none"/>
          <w:lang w:val="en-US" w:eastAsia="zh-CN"/>
        </w:rPr>
        <w:t>位于辽宁沿海经济带主轴和“一带一路”中蒙俄经济走廊重要节点，是中国最北的滨海城市，是东北及蒙东地区最近的出海通道，相继获批国家一类口岸、国家跨境电子商务综试区。盘锦港2010年开港，四季通航，已建成万吨级以上泊位29个，开通了17条内贸班轮航线及23条外贸线路，拥有每年900万吨化学品和1800万吨油品通过能力，2024年集装箱吞吐量近50万标箱。保税仓、出口监管仓和保税物流中心已封关运营。30万吨级原油码头即将竣工投用，港口年通过能力将达到9000万吨。</w:t>
      </w:r>
    </w:p>
    <w:p w14:paraId="7C2AC9AB">
      <w:pPr>
        <w:pStyle w:val="style0"/>
        <w:keepNext w:val="false"/>
        <w:keepLines w:val="false"/>
        <w:pageBreakBefore w:val="false"/>
        <w:widowControl w:val="false"/>
        <w:kinsoku/>
        <w:wordWrap/>
        <w:overflowPunct w:val="false"/>
        <w:topLinePunct w:val="false"/>
        <w:autoSpaceDE/>
        <w:autoSpaceDN/>
        <w:bidi w:val="false"/>
        <w:adjustRightInd w:val="false"/>
        <w:snapToGrid w:val="false"/>
        <w:spacing w:beforeAutospacing="false" w:afterAutospacing="false" w:lineRule="auto" w:line="322"/>
        <w:ind w:firstLine="680" w:firstLineChars="200"/>
        <w:textAlignment w:val="auto"/>
        <w:rPr>
          <w:rFonts w:ascii="仿宋_GB2312" w:cs="仿宋_GB2312" w:eastAsia="仿宋_GB2312" w:hAnsi="仿宋_GB2312" w:hint="eastAsia"/>
          <w:color w:val="auto"/>
          <w:sz w:val="34"/>
          <w:szCs w:val="34"/>
          <w:u w:val="none"/>
          <w:lang w:val="en-US" w:eastAsia="zh-CN"/>
        </w:rPr>
      </w:pPr>
      <w:r>
        <w:rPr>
          <w:rFonts w:ascii="楷体_GB2312" w:cs="楷体_GB2312" w:eastAsia="楷体_GB2312" w:hAnsi="楷体_GB2312" w:hint="eastAsia"/>
          <w:color w:val="auto"/>
          <w:sz w:val="34"/>
          <w:szCs w:val="34"/>
          <w:u w:val="none"/>
          <w:lang w:val="en-US" w:eastAsia="zh-CN"/>
        </w:rPr>
        <w:t>盘锦是湿地之都。</w:t>
      </w:r>
      <w:r>
        <w:rPr>
          <w:rFonts w:ascii="仿宋_GB2312" w:cs="仿宋_GB2312" w:eastAsia="仿宋_GB2312" w:hAnsi="仿宋_GB2312" w:hint="eastAsia"/>
          <w:color w:val="auto"/>
          <w:sz w:val="34"/>
          <w:szCs w:val="34"/>
          <w:u w:val="none"/>
          <w:lang w:val="en-US" w:eastAsia="zh-CN"/>
        </w:rPr>
        <w:t>素有“九河下梢”之称，境内共有自然河流21条，河流总长634公里，总流域面积3570平方公里，是辽河唯一穿城而过的城市。河海交汇的地理环境孕育了“天下奇观”5A级景区红海滩，造就了世界上植被类型保持完好的最大芦苇荡，除水稻田以外的各类湿地面积达2496平方公里，其中自然湿地2165平方公里、人工湿地331平方公里；总面积800平方公里的辽河口国家级自然保护区，被联合国列入世界重要湿地名录，栖息各类野生动物497种，是丹顶鹤南北迁徙的重要停歇地、全球最大种群的黑嘴鸥繁殖地、斑海豹重要产仔地。2022年，盘锦正式入选国际湿地城市。</w:t>
      </w:r>
    </w:p>
    <w:p w14:paraId="123003F1">
      <w:pPr>
        <w:pStyle w:val="style0"/>
        <w:keepNext w:val="false"/>
        <w:keepLines w:val="false"/>
        <w:pageBreakBefore w:val="false"/>
        <w:widowControl w:val="false"/>
        <w:kinsoku/>
        <w:wordWrap/>
        <w:overflowPunct w:val="false"/>
        <w:topLinePunct w:val="false"/>
        <w:autoSpaceDE/>
        <w:autoSpaceDN/>
        <w:bidi w:val="false"/>
        <w:adjustRightInd w:val="false"/>
        <w:snapToGrid w:val="false"/>
        <w:spacing w:beforeAutospacing="false" w:afterAutospacing="false" w:lineRule="auto" w:line="322"/>
        <w:ind w:firstLine="680" w:firstLineChars="200"/>
        <w:textAlignment w:val="auto"/>
        <w:rPr>
          <w:rFonts w:ascii="仿宋_GB2312" w:cs="仿宋_GB2312" w:eastAsia="仿宋_GB2312" w:hAnsi="仿宋_GB2312" w:hint="eastAsia"/>
          <w:color w:val="auto"/>
          <w:sz w:val="34"/>
          <w:szCs w:val="34"/>
          <w:u w:val="none"/>
          <w:lang w:val="en-US" w:eastAsia="zh-CN"/>
        </w:rPr>
      </w:pPr>
      <w:r>
        <w:rPr>
          <w:rFonts w:ascii="楷体_GB2312" w:cs="楷体_GB2312" w:eastAsia="楷体_GB2312" w:hAnsi="楷体_GB2312" w:hint="eastAsia"/>
          <w:color w:val="auto"/>
          <w:sz w:val="34"/>
          <w:szCs w:val="34"/>
          <w:u w:val="none"/>
          <w:lang w:val="en-US" w:eastAsia="zh-CN"/>
        </w:rPr>
        <w:t>盘锦是鱼米之乡。</w:t>
      </w:r>
      <w:r>
        <w:rPr>
          <w:rFonts w:ascii="仿宋_GB2312" w:cs="仿宋_GB2312" w:eastAsia="仿宋_GB2312" w:hAnsi="仿宋_GB2312" w:hint="eastAsia"/>
          <w:color w:val="auto"/>
          <w:sz w:val="34"/>
          <w:szCs w:val="34"/>
          <w:highlight w:val="none"/>
          <w:u w:val="none"/>
          <w:lang w:val="en-US" w:eastAsia="zh-CN"/>
        </w:rPr>
        <w:t>先后荣获“中国生态稻米之乡”“中国河蟹第一市”等称号</w:t>
      </w:r>
      <w:r>
        <w:rPr>
          <w:rFonts w:ascii="仿宋_GB2312" w:cs="仿宋_GB2312" w:eastAsia="仿宋_GB2312" w:hAnsi="仿宋_GB2312" w:hint="eastAsia"/>
          <w:color w:val="auto"/>
          <w:sz w:val="34"/>
          <w:szCs w:val="34"/>
          <w:u w:val="none"/>
          <w:lang w:val="en-US" w:eastAsia="zh-CN"/>
        </w:rPr>
        <w:t>，“盘锦大米”“盘锦河蟹”品牌价值超过1000亿元</w:t>
      </w:r>
      <w:r>
        <w:rPr>
          <w:rFonts w:ascii="仿宋_GB2312" w:cs="仿宋_GB2312" w:eastAsia="仿宋_GB2312" w:hAnsi="仿宋_GB2312" w:hint="eastAsia"/>
          <w:color w:val="auto"/>
          <w:sz w:val="34"/>
          <w:szCs w:val="34"/>
          <w:highlight w:val="none"/>
          <w:u w:val="none"/>
          <w:lang w:val="en-US" w:eastAsia="zh-CN"/>
        </w:rPr>
        <w:t>。水稻播种面积稳定在160万亩以上</w:t>
      </w:r>
      <w:r>
        <w:rPr>
          <w:rFonts w:ascii="仿宋_GB2312" w:cs="仿宋_GB2312" w:eastAsia="仿宋_GB2312" w:hAnsi="仿宋_GB2312" w:hint="eastAsia"/>
          <w:color w:val="auto"/>
          <w:sz w:val="34"/>
          <w:szCs w:val="34"/>
          <w:u w:val="none"/>
          <w:lang w:val="en-US" w:eastAsia="zh-CN"/>
        </w:rPr>
        <w:t>，年产优质水稻100万吨以上，盘锦大米、河蟹、河豚、泥鳅、碱地柿子5种农产品被国家批准实施地理标志产品保护。水飞蓟素产量占全球的70%，是全球最大的水飞蓟素加工出口基地；盘锦大米“红海滩1号”被评为全省首批“辽宁优品”；河蟹养殖面积179万亩、产量8万吨；蟹稻综合种养面积95万亩。依托盘锦港区位优势和优质稻谷资源，吸引了中储粮、益海嘉里、汇福粮油等一批国内外知名粮企入驻，形成稻米、大豆和水飞蓟三大粮油深加工产业链，东北粮食集散中心和精深加工基地已具雏形。</w:t>
      </w:r>
    </w:p>
    <w:p w14:paraId="023380EF">
      <w:pPr>
        <w:pStyle w:val="style0"/>
        <w:keepNext w:val="false"/>
        <w:keepLines w:val="false"/>
        <w:pageBreakBefore w:val="false"/>
        <w:widowControl w:val="false"/>
        <w:kinsoku/>
        <w:wordWrap/>
        <w:overflowPunct w:val="false"/>
        <w:topLinePunct w:val="false"/>
        <w:autoSpaceDE/>
        <w:autoSpaceDN/>
        <w:bidi w:val="false"/>
        <w:adjustRightInd w:val="false"/>
        <w:snapToGrid w:val="false"/>
        <w:spacing w:beforeAutospacing="false" w:afterAutospacing="false" w:lineRule="auto" w:line="322"/>
        <w:ind w:firstLine="680" w:firstLineChars="200"/>
        <w:textAlignment w:val="auto"/>
        <w:rPr>
          <w:rFonts w:ascii="仿宋_GB2312" w:cs="仿宋_GB2312" w:eastAsia="仿宋_GB2312" w:hAnsi="仿宋_GB2312" w:hint="eastAsia"/>
          <w:color w:val="auto"/>
          <w:sz w:val="34"/>
          <w:szCs w:val="34"/>
          <w:u w:val="none"/>
          <w:lang w:val="en-US" w:eastAsia="zh-CN"/>
        </w:rPr>
      </w:pPr>
      <w:r>
        <w:rPr>
          <w:rFonts w:ascii="楷体_GB2312" w:cs="楷体_GB2312" w:eastAsia="楷体_GB2312" w:hAnsi="楷体_GB2312" w:hint="eastAsia"/>
          <w:color w:val="auto"/>
          <w:sz w:val="34"/>
          <w:szCs w:val="34"/>
          <w:u w:val="none"/>
          <w:lang w:val="en-US" w:eastAsia="zh-CN"/>
        </w:rPr>
        <w:t>盘锦是幸福之城。</w:t>
      </w:r>
      <w:r>
        <w:rPr>
          <w:rFonts w:ascii="仿宋_GB2312" w:cs="仿宋_GB2312" w:eastAsia="仿宋_GB2312" w:hAnsi="仿宋_GB2312" w:hint="eastAsia"/>
          <w:color w:val="auto"/>
          <w:sz w:val="34"/>
          <w:szCs w:val="34"/>
          <w:u w:val="none"/>
          <w:lang w:val="en-US" w:eastAsia="zh-CN"/>
        </w:rPr>
        <w:t>率先成为全国首批36个小康城市之一，教育质量稳居全省前列，居民健康素养水平全省第一，群众安全感指数全省第一，正在建设宜居宜业幸福平安的锦绣之城。城乡基础设施不断完善，城乡融合发展水平、民生保障水平全省领先，燃气、供水、生活垃圾处理、污水处理、客运公交、绿色配送及快递服务、通信、低保等8个领域基本实现城乡一体化，</w:t>
      </w:r>
      <w:bookmarkStart w:id="0" w:name="_GoBack"/>
      <w:bookmarkEnd w:id="0"/>
      <w:r>
        <w:rPr>
          <w:rFonts w:ascii="仿宋_GB2312" w:cs="仿宋_GB2312" w:eastAsia="仿宋_GB2312" w:hAnsi="仿宋_GB2312" w:hint="eastAsia"/>
          <w:color w:val="auto"/>
          <w:sz w:val="34"/>
          <w:szCs w:val="34"/>
          <w:u w:val="none"/>
          <w:lang w:val="en-US" w:eastAsia="zh-CN"/>
        </w:rPr>
        <w:t>是全国首个实现全域城乡一体化快递服务的城市。城市品质持续提升，先后被评为全国文明城市、国家卫生城市、国家食品安全示范城市、国家园林城市、全国双拥模范城、全国市域社会治理现代化试点合格城市，蝉联全国平安建设“长安杯”。</w:t>
      </w:r>
    </w:p>
    <w:p w14:paraId="64505B51">
      <w:pPr>
        <w:pStyle w:val="style0"/>
        <w:keepNext w:val="false"/>
        <w:keepLines w:val="false"/>
        <w:pageBreakBefore w:val="false"/>
        <w:widowControl w:val="false"/>
        <w:kinsoku/>
        <w:wordWrap/>
        <w:overflowPunct w:val="false"/>
        <w:topLinePunct w:val="false"/>
        <w:autoSpaceDE/>
        <w:autoSpaceDN/>
        <w:bidi w:val="false"/>
        <w:adjustRightInd w:val="false"/>
        <w:snapToGrid w:val="false"/>
        <w:spacing w:beforeAutospacing="false" w:afterAutospacing="false" w:lineRule="auto" w:line="322"/>
        <w:ind w:firstLine="680" w:firstLineChars="200"/>
        <w:textAlignment w:val="auto"/>
        <w:rPr>
          <w:color w:val="auto"/>
          <w:sz w:val="34"/>
          <w:szCs w:val="34"/>
          <w:u w:val="none"/>
        </w:rPr>
      </w:pPr>
      <w:r>
        <w:rPr>
          <w:rFonts w:ascii="仿宋_GB2312" w:cs="仿宋_GB2312" w:eastAsia="仿宋_GB2312" w:hAnsi="仿宋_GB2312" w:hint="eastAsia"/>
          <w:color w:val="auto"/>
          <w:sz w:val="34"/>
          <w:szCs w:val="34"/>
          <w:highlight w:val="none"/>
          <w:u w:val="none"/>
          <w:lang w:val="en-US" w:eastAsia="zh-CN"/>
        </w:rPr>
        <w:t>当前，盘锦市委、市政府正在</w:t>
      </w:r>
      <w:r>
        <w:rPr>
          <w:rFonts w:ascii="仿宋_GB2312" w:cs="仿宋_GB2312" w:eastAsia="仿宋_GB2312" w:hAnsi="仿宋_GB2312" w:hint="eastAsia"/>
          <w:color w:val="auto"/>
          <w:sz w:val="34"/>
          <w:szCs w:val="34"/>
          <w:highlight w:val="none"/>
          <w:u w:val="none"/>
        </w:rPr>
        <w:t>深入学习贯彻习近平总书记在辽宁考察时的重要讲话和重要指示精神，全面落实省委关于打好打赢决胜之年决胜之战的各项部署要求，锚定“六个走在前列”“五方面作出突出贡献”目标定位，</w:t>
      </w:r>
      <w:r>
        <w:rPr>
          <w:rFonts w:ascii="仿宋_GB2312" w:cs="仿宋_GB2312" w:eastAsia="仿宋_GB2312" w:hAnsi="仿宋_GB2312" w:hint="eastAsia"/>
          <w:color w:val="auto"/>
          <w:sz w:val="34"/>
          <w:szCs w:val="34"/>
          <w:highlight w:val="none"/>
          <w:u w:val="none"/>
          <w:lang w:val="en-US" w:eastAsia="zh-CN"/>
        </w:rPr>
        <w:t>锐意进取、真抓实干</w:t>
      </w:r>
      <w:r>
        <w:rPr>
          <w:rFonts w:ascii="仿宋_GB2312" w:cs="仿宋_GB2312" w:eastAsia="仿宋_GB2312" w:hAnsi="仿宋_GB2312" w:hint="eastAsia"/>
          <w:color w:val="auto"/>
          <w:sz w:val="34"/>
          <w:szCs w:val="34"/>
          <w:highlight w:val="none"/>
          <w:u w:val="none"/>
        </w:rPr>
        <w:t>，</w:t>
      </w:r>
      <w:r>
        <w:rPr>
          <w:rFonts w:ascii="仿宋_GB2312" w:cs="仿宋_GB2312" w:eastAsia="仿宋_GB2312" w:hAnsi="仿宋_GB2312" w:hint="eastAsia"/>
          <w:color w:val="auto"/>
          <w:sz w:val="34"/>
          <w:szCs w:val="34"/>
          <w:highlight w:val="none"/>
          <w:u w:val="none"/>
          <w:lang w:val="en-US" w:eastAsia="zh-CN"/>
        </w:rPr>
        <w:t>奋力谱写中国式现代化盘锦篇章！</w:t>
      </w:r>
    </w:p>
    <w:sectPr>
      <w:footerReference w:type="default" r:id="rId2"/>
      <w:pgSz w:w="11906" w:h="16838" w:orient="portrait"/>
      <w:pgMar w:top="2154" w:right="1474" w:bottom="1814" w:left="158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Wingdings"/>
    <w:panose1 w:val="05000000000000000000"/>
    <w:charset w:val="02"/>
    <w:family w:val="auto"/>
    <w:pitch w:val="default"/>
    <w:sig w:usb0="00000000" w:usb1="00000000" w:usb2="00000000" w:usb3="00000000" w:csb0="80000000" w:csb1="00000000"/>
  </w:font>
  <w:font w:name="Arial">
    <w:altName w:val="Nimbus Roman No9 L"/>
    <w:panose1 w:val="020b0604020002020204"/>
    <w:charset w:val="01"/>
    <w:family w:val="swiss"/>
    <w:pitch w:val="default"/>
    <w:sig w:usb0="E0002AFF" w:usb1="C0007843" w:usb2="00000009" w:usb3="00000000" w:csb0="400001FF" w:csb1="FFFF0000"/>
  </w:font>
  <w:font w:name="黑体">
    <w:altName w:val="黑体"/>
    <w:panose1 w:val="02010609060001010101"/>
    <w:charset w:val="86"/>
    <w:family w:val="auto"/>
    <w:pitch w:val="default"/>
    <w:sig w:usb0="800002BF" w:usb1="38CF7CFA" w:usb2="00000016" w:usb3="00000000" w:csb0="00040001" w:csb1="00000000"/>
  </w:font>
  <w:font w:name="Courier New">
    <w:altName w:val="DejaVu Sans"/>
    <w:panose1 w:val="02070309020002020404"/>
    <w:charset w:val="01"/>
    <w:family w:val="modern"/>
    <w:pitch w:val="default"/>
    <w:sig w:usb0="E0002AFF" w:usb1="C0007843" w:usb2="00000009" w:usb3="00000000" w:csb0="400001FF" w:csb1="FFFF0000"/>
  </w:font>
  <w:font w:name="Symbol">
    <w:altName w:val="Symbol"/>
    <w:panose1 w:val="05050102010007020507"/>
    <w:charset w:val="02"/>
    <w:family w:val="roman"/>
    <w:pitch w:val="default"/>
    <w:sig w:usb0="00000000" w:usb1="00000000" w:usb2="00000000" w:usb3="00000000" w:csb0="80000000" w:csb1="00000000"/>
  </w:font>
  <w:font w:name="Nimbus Roman No9 L">
    <w:altName w:val="Nimbus Roman No9 L"/>
    <w:panose1 w:val="00000000000000000000"/>
    <w:charset w:val="00"/>
    <w:family w:val="auto"/>
    <w:pitch w:val="default"/>
    <w:sig w:usb0="00000000" w:usb1="00000000" w:usb2="00000000" w:usb3="00000000" w:csb0="00000000" w:csb1="00000000"/>
  </w:font>
  <w:font w:name="Calibri">
    <w:altName w:val="DejaVu Sans"/>
    <w:panose1 w:val="020f0502020002030204"/>
    <w:charset w:val="00"/>
    <w:family w:val="swiss"/>
    <w:pitch w:val="default"/>
    <w:sig w:usb0="00000000" w:usb1="00000000" w:usb2="00000001" w:usb3="00000000" w:csb0="0000019F" w:csb1="00000000"/>
  </w:font>
  <w:font w:name="DejaVu Sans">
    <w:altName w:val="DejaVu Sans"/>
    <w:panose1 w:val="020b0603030008020204"/>
    <w:charset w:val="00"/>
    <w:family w:val="auto"/>
    <w:pitch w:val="default"/>
    <w:sig w:usb0="E7006EFF" w:usb1="D200FDFF" w:usb2="0A246029" w:usb3="0400200C" w:csb0="600001FF" w:csb1="DFFF0000"/>
  </w:font>
  <w:font w:name="方正书宋_GBK">
    <w:altName w:val="方正书宋_GBK"/>
    <w:panose1 w:val="02000000000000000000"/>
    <w:charset w:val="86"/>
    <w:family w:val="auto"/>
    <w:pitch w:val="default"/>
    <w:sig w:usb0="00000001" w:usb1="08000000" w:usb2="00000000" w:usb3="00000000" w:csb0="00040000" w:csb1="00000000"/>
  </w:font>
  <w:font w:name="仿宋_GB2312">
    <w:altName w:val="仿宋_GB2312"/>
    <w:panose1 w:val="02010609030001010101"/>
    <w:charset w:val="86"/>
    <w:family w:val="modern"/>
    <w:pitch w:val="default"/>
    <w:sig w:usb0="00000001" w:usb1="080E0000" w:usb2="00000000" w:usb3="00000000" w:csb0="00040000" w:csb1="00000000"/>
  </w:font>
  <w:font w:name="方正小标宋简体">
    <w:altName w:val="方正小标宋简体"/>
    <w:panose1 w:val="02000000000000000000"/>
    <w:charset w:val="86"/>
    <w:family w:val="script"/>
    <w:pitch w:val="default"/>
    <w:sig w:usb0="A00002BF" w:usb1="184F6CFA" w:usb2="00000012" w:usb3="00000000" w:csb0="00040001" w:csb1="00000000"/>
  </w:font>
  <w:font w:name="楷体_GB2312">
    <w:altName w:val="楷体_GB2312"/>
    <w:panose1 w:val="02010609030001010101"/>
    <w:charset w:val="86"/>
    <w:family w:val="modern"/>
    <w:pitch w:val="default"/>
    <w:sig w:usb0="00000001" w:usb1="080E0000" w:usb2="00000000" w:usb3="00000000" w:csb0="00040000"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5BA18966">
    <w:pPr>
      <w:pStyle w:val="style32"/>
      <w:rPr/>
    </w:pPr>
    <w:r>
      <w:rPr>
        <w:sz w:val="18"/>
      </w:rPr>
      <mc:AlternateContent>
        <mc:Choice Requires="wps">
          <w:drawing>
            <wp:anchor distT="0" distB="0" distL="0" distR="0" simplePos="false" relativeHeight="2" behindDoc="false" locked="false" layoutInCell="true" allowOverlap="true">
              <wp:simplePos x="0" y="0"/>
              <wp:positionH relativeFrom="margin">
                <wp:align>center</wp:align>
              </wp:positionH>
              <wp:positionV relativeFrom="paragraph">
                <wp:posOffset>0</wp:posOffset>
              </wp:positionV>
              <wp:extent cx="1828800" cy="1828800"/>
              <wp:effectExtent l="0" t="0" r="0" b="0"/>
              <wp:wrapNone/>
              <wp:docPr id="4097" name="文本框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828800" cy="1828800"/>
                      </a:xfrm>
                      <a:prstGeom prst="rect"/>
                      <a:ln>
                        <a:noFill/>
                      </a:ln>
                    </wps:spPr>
                    <wps:txbx id="4097">
                      <w:txbxContent>
                        <w:p w14:paraId="0D98A0FD">
                          <w:pPr>
                            <w:pStyle w:val="style32"/>
                            <w:rPr>
                              <w:rFonts w:ascii="宋体" w:cs="宋体" w:eastAsia="宋体" w:hAnsi="宋体" w:hint="eastAsia"/>
                              <w:sz w:val="28"/>
                              <w:szCs w:val="28"/>
                            </w:rPr>
                          </w:pPr>
                          <w:r>
                            <w:rPr>
                              <w:rFonts w:ascii="宋体" w:cs="宋体" w:eastAsia="宋体" w:hAnsi="宋体" w:hint="eastAsia"/>
                              <w:sz w:val="28"/>
                              <w:szCs w:val="28"/>
                            </w:rPr>
                            <w:t xml:space="preserve">— </w:t>
                          </w:r>
                          <w:r>
                            <w:rPr>
                              <w:rFonts w:ascii="宋体" w:cs="宋体" w:eastAsia="宋体" w:hAnsi="宋体" w:hint="eastAsia"/>
                              <w:sz w:val="28"/>
                              <w:szCs w:val="28"/>
                            </w:rPr>
                            <w:fldChar w:fldCharType="begin"/>
                          </w:r>
                          <w:r>
                            <w:rPr>
                              <w:rFonts w:ascii="宋体" w:cs="宋体" w:eastAsia="宋体" w:hAnsi="宋体" w:hint="eastAsia"/>
                              <w:sz w:val="28"/>
                              <w:szCs w:val="28"/>
                            </w:rPr>
                            <w:instrText xml:space="preserve"> PAGE  \* MERGEFORMAT </w:instrText>
                          </w:r>
                          <w:r>
                            <w:rPr>
                              <w:rFonts w:ascii="宋体" w:cs="宋体" w:eastAsia="宋体" w:hAnsi="宋体" w:hint="eastAsia"/>
                              <w:sz w:val="28"/>
                              <w:szCs w:val="28"/>
                            </w:rPr>
                            <w:fldChar w:fldCharType="separate"/>
                          </w:r>
                          <w:r>
                            <w:rPr>
                              <w:rFonts w:ascii="宋体" w:cs="宋体" w:eastAsia="宋体" w:hAnsi="宋体" w:hint="eastAsia"/>
                              <w:sz w:val="28"/>
                              <w:szCs w:val="28"/>
                            </w:rPr>
                            <w:t>1</w:t>
                          </w:r>
                          <w:r>
                            <w:rPr>
                              <w:rFonts w:ascii="宋体" w:cs="宋体" w:eastAsia="宋体" w:hAnsi="宋体" w:hint="eastAsia"/>
                              <w:sz w:val="28"/>
                              <w:szCs w:val="28"/>
                            </w:rPr>
                            <w:fldChar w:fldCharType="end"/>
                          </w:r>
                          <w:r>
                            <w:rPr>
                              <w:rFonts w:ascii="宋体" w:cs="宋体" w:eastAsia="宋体" w:hAnsi="宋体" w:hint="eastAsia"/>
                              <w:sz w:val="28"/>
                              <w:szCs w:val="28"/>
                            </w:rPr>
                            <w:t xml:space="preserve"> —</w:t>
                          </w:r>
                        </w:p>
                      </w:txbxContent>
                    </wps:txbx>
                    <wps:bodyPr lIns="0" rIns="0" tIns="0" bIns="0" vert="horz" anchor="t" wrap="none" upright="false">
                      <a:prstTxWarp prst="textNoShape"/>
                      <a:spAutoFit/>
                    </wps:bodyPr>
                  </wps:wsp>
                </a:graphicData>
              </a:graphic>
            </wp:anchor>
          </w:drawing>
        </mc:Choice>
        <mc:Fallback>
          <w:pict>
            <v:rect id="4097" filled="f" stroked="f" style="position:absolute;margin-left:0.0pt;margin-top:0.0pt;width:144.0pt;height:144.0pt;z-index:2;mso-position-horizontal:center;mso-position-horizontal-relative:margin;mso-position-vertical-relative:text;mso-width-relative:page;mso-height-relative:page;mso-wrap-distance-left:0.0pt;mso-wrap-distance-right:0.0pt;visibility:visible;mso-wrap-style:none;">
              <v:stroke on="f"/>
              <v:fill/>
              <v:textbox inset="0.0pt,0.0pt,0.0pt,0.0pt" style="mso-fit-shape-to-text:true;">
                <w:txbxContent>
                  <w:p w14:paraId="0D98A0FD">
                    <w:pPr>
                      <w:pStyle w:val="style32"/>
                      <w:rPr>
                        <w:rFonts w:ascii="宋体" w:cs="宋体" w:eastAsia="宋体" w:hAnsi="宋体" w:hint="eastAsia"/>
                        <w:sz w:val="28"/>
                        <w:szCs w:val="28"/>
                      </w:rPr>
                    </w:pPr>
                    <w:r>
                      <w:rPr>
                        <w:rFonts w:ascii="宋体" w:cs="宋体" w:eastAsia="宋体" w:hAnsi="宋体" w:hint="eastAsia"/>
                        <w:sz w:val="28"/>
                        <w:szCs w:val="28"/>
                      </w:rPr>
                      <w:t xml:space="preserve">— </w:t>
                    </w:r>
                    <w:r>
                      <w:rPr>
                        <w:rFonts w:ascii="宋体" w:cs="宋体" w:eastAsia="宋体" w:hAnsi="宋体" w:hint="eastAsia"/>
                        <w:sz w:val="28"/>
                        <w:szCs w:val="28"/>
                      </w:rPr>
                      <w:fldChar w:fldCharType="begin"/>
                    </w:r>
                    <w:r>
                      <w:rPr>
                        <w:rFonts w:ascii="宋体" w:cs="宋体" w:eastAsia="宋体" w:hAnsi="宋体" w:hint="eastAsia"/>
                        <w:sz w:val="28"/>
                        <w:szCs w:val="28"/>
                      </w:rPr>
                      <w:instrText xml:space="preserve"> PAGE  \* MERGEFORMAT </w:instrText>
                    </w:r>
                    <w:r>
                      <w:rPr>
                        <w:rFonts w:ascii="宋体" w:cs="宋体" w:eastAsia="宋体" w:hAnsi="宋体" w:hint="eastAsia"/>
                        <w:sz w:val="28"/>
                        <w:szCs w:val="28"/>
                      </w:rPr>
                      <w:fldChar w:fldCharType="separate"/>
                    </w:r>
                    <w:r>
                      <w:rPr>
                        <w:rFonts w:ascii="宋体" w:cs="宋体" w:eastAsia="宋体" w:hAnsi="宋体" w:hint="eastAsia"/>
                        <w:sz w:val="28"/>
                        <w:szCs w:val="28"/>
                      </w:rPr>
                      <w:t>1</w:t>
                    </w:r>
                    <w:r>
                      <w:rPr>
                        <w:rFonts w:ascii="宋体" w:cs="宋体" w:eastAsia="宋体" w:hAnsi="宋体" w:hint="eastAsia"/>
                        <w:sz w:val="28"/>
                        <w:szCs w:val="28"/>
                      </w:rPr>
                      <w:fldChar w:fldCharType="end"/>
                    </w:r>
                    <w:r>
                      <w:rPr>
                        <w:rFonts w:ascii="宋体" w:cs="宋体" w:eastAsia="宋体" w:hAnsi="宋体" w:hint="eastAsia"/>
                        <w:sz w:val="28"/>
                        <w:szCs w:val="28"/>
                      </w:rPr>
                      <w:t xml:space="preserve"> —</w:t>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bordersDoNotSurroundHeader/>
  <w:bordersDoNotSurroundFooter/>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Times New Roman" w:eastAsia="宋体" w:hAnsi="Calibri"/>
      </w:rPr>
    </w:rPrDefault>
    <w:pPrDefault>
      <w:pPr/>
    </w:pPrDefault>
  </w:docDefaults>
  <w:style w:type="paragraph" w:default="1" w:styleId="style0">
    <w:name w:val="Normal"/>
    <w:next w:val="style78"/>
    <w:qFormat/>
    <w:uiPriority w:val="0"/>
    <w:pPr>
      <w:widowControl w:val="false"/>
      <w:jc w:val="both"/>
    </w:pPr>
    <w:rPr>
      <w:rFonts w:ascii="Calibri" w:cs="Times New Roman" w:eastAsia="宋体" w:hAnsi="Calibri"/>
      <w:kern w:val="2"/>
      <w:sz w:val="21"/>
      <w:szCs w:val="24"/>
      <w:lang w:val="en-US" w:bidi="ar-SA" w:eastAsia="zh-CN"/>
    </w:rPr>
  </w:style>
  <w:style w:type="paragraph" w:styleId="style1">
    <w:name w:val="heading 1"/>
    <w:basedOn w:val="style0"/>
    <w:next w:val="style0"/>
    <w:qFormat/>
    <w:uiPriority w:val="0"/>
    <w:pPr>
      <w:spacing w:beforeAutospacing="true" w:afterAutospacing="true"/>
      <w:jc w:val="left"/>
      <w:outlineLvl w:val="0"/>
    </w:pPr>
    <w:rPr>
      <w:rFonts w:ascii="宋体" w:hAnsi="宋体" w:hint="eastAsia"/>
      <w:b/>
      <w:bCs/>
      <w:kern w:val="44"/>
      <w:sz w:val="48"/>
      <w:szCs w:val="48"/>
    </w:rPr>
  </w:style>
  <w:style w:type="character" w:default="1" w:styleId="style65">
    <w:name w:val="Default Paragraph Font"/>
    <w:next w:val="style65"/>
    <w:qFormat/>
    <w:uiPriority w:val="0"/>
  </w:style>
  <w:style w:type="table" w:default="1" w:styleId="style105">
    <w:name w:val="Normal Table"/>
    <w:next w:val="style105"/>
    <w:qFormat/>
    <w:uiPriority w:val="0"/>
    <w:pPr/>
    <w:rPr/>
    <w:tblPr>
      <w:tblCellMar>
        <w:top w:w="0" w:type="dxa"/>
        <w:left w:w="108" w:type="dxa"/>
        <w:bottom w:w="0" w:type="dxa"/>
        <w:right w:w="108" w:type="dxa"/>
      </w:tblCellMar>
    </w:tblPr>
    <w:tcPr>
      <w:tcBorders/>
    </w:tcPr>
  </w:style>
  <w:style w:type="paragraph" w:styleId="style78">
    <w:name w:val="Body Text First Indent 2"/>
    <w:basedOn w:val="style67"/>
    <w:next w:val="style0"/>
    <w:qFormat/>
    <w:uiPriority w:val="99"/>
    <w:pPr>
      <w:spacing w:lineRule="exact" w:line="500"/>
      <w:ind w:left="0" w:firstLine="1558" w:firstLineChars="487"/>
    </w:pPr>
    <w:rPr>
      <w:rFonts w:ascii="黑体" w:cs="仿宋_GB2312" w:eastAsia="黑体" w:hAnsi="黑体"/>
      <w:sz w:val="32"/>
      <w:szCs w:val="32"/>
    </w:rPr>
  </w:style>
  <w:style w:type="paragraph" w:styleId="style67">
    <w:name w:val="Body Text Indent"/>
    <w:basedOn w:val="style0"/>
    <w:next w:val="style28"/>
    <w:qFormat/>
    <w:uiPriority w:val="99"/>
    <w:pPr>
      <w:ind w:left="420"/>
    </w:pPr>
    <w:rPr/>
  </w:style>
  <w:style w:type="paragraph" w:styleId="style28">
    <w:name w:val="Normal Indent"/>
    <w:basedOn w:val="style0"/>
    <w:next w:val="style28"/>
    <w:qFormat/>
    <w:uiPriority w:val="0"/>
    <w:pPr>
      <w:spacing w:lineRule="atLeast" w:line="240"/>
      <w:ind w:firstLine="420" w:firstLineChars="200"/>
    </w:pPr>
    <w:rPr>
      <w:rFonts w:eastAsia="仿宋_GB2312"/>
      <w:sz w:val="32"/>
      <w:szCs w:val="32"/>
    </w:rPr>
  </w:style>
  <w:style w:type="paragraph" w:styleId="style32">
    <w:name w:val="footer"/>
    <w:basedOn w:val="style0"/>
    <w:next w:val="style32"/>
    <w:qFormat/>
    <w:uiPriority w:val="0"/>
    <w:pPr>
      <w:tabs>
        <w:tab w:val="center" w:leader="none" w:pos="4153"/>
        <w:tab w:val="right" w:leader="none" w:pos="8306"/>
      </w:tabs>
      <w:snapToGrid w:val="false"/>
      <w:jc w:val="left"/>
    </w:pPr>
    <w:rPr>
      <w:sz w:val="18"/>
    </w:rPr>
  </w:style>
  <w:style w:type="paragraph" w:styleId="style31">
    <w:name w:val="header"/>
    <w:basedOn w:val="style0"/>
    <w:next w:val="style31"/>
    <w:qFormat/>
    <w:uiPriority w:val="0"/>
    <w:pPr>
      <w:pBdr>
        <w:left w:val="none" w:sz="0" w:space="4" w:color="auto"/>
        <w:right w:val="none" w:sz="0" w:space="4" w:color="auto"/>
        <w:top w:val="none" w:sz="0" w:space="1" w:color="auto"/>
        <w:bottom w:val="none" w:sz="0" w:space="1" w:color="auto"/>
      </w:pBdr>
      <w:tabs>
        <w:tab w:val="center" w:leader="none" w:pos="4153"/>
        <w:tab w:val="right" w:leader="none" w:pos="8306"/>
      </w:tabs>
      <w:snapToGrid w:val="false"/>
      <w:spacing w:lineRule="auto" w:line="240"/>
      <w:jc w:val="both"/>
      <w:outlineLvl w:val="9"/>
    </w:pPr>
    <w:rPr>
      <w:sz w:val="18"/>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Words>1778</Words>
  <Pages>4</Pages>
  <Characters>1898</Characters>
  <Application>WPS Office</Application>
  <DocSecurity>0</DocSecurity>
  <Paragraphs>13</Paragraphs>
  <ScaleCrop>false</ScaleCrop>
  <LinksUpToDate>false</LinksUpToDate>
  <CharactersWithSpaces>1900</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2024-09-09T03:19:00Z</dcterms:created>
  <dc:creator>ank</dc:creator>
  <lastModifiedBy>LGE-AN00</lastModifiedBy>
  <dcterms:modified xsi:type="dcterms:W3CDTF">2025-10-09T02:09:18Z</dcterms:modified>
  <revision>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df5ee2e624f7462d8dff5c59e95ea3fa_23</vt:lpwstr>
  </property>
  <property fmtid="{D5CDD505-2E9C-101B-9397-08002B2CF9AE}" pid="4" name="KSOTemplateDocerSaveRecord">
    <vt:lpwstr>eyJoZGlkIjoiNGFhNGNiYWMyZjE2NGJjNDE0MzdkYjdmODdjYzBkOTQiLCJ1c2VySWQiOiI0NTk0ODc4NTgifQ==</vt:lpwstr>
  </property>
</Properties>
</file>